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D36874" w:rsidRDefault="00341A25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595B8" wp14:editId="6EE23CB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B69DD36-D928-4E1F-87AC-551EC7689E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B69DD36-D928-4E1F-87AC-551EC7689E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7E9" w:rsidRPr="00D36874">
        <w:rPr>
          <w:rFonts w:ascii="Arial" w:hAnsi="Arial" w:cs="Arial"/>
          <w:b/>
          <w:bCs/>
          <w:lang w:val="es-MX"/>
        </w:rPr>
        <w:t>Anchorage</w:t>
      </w:r>
      <w:r>
        <w:rPr>
          <w:rFonts w:ascii="Arial" w:hAnsi="Arial" w:cs="Arial"/>
          <w:b/>
          <w:bCs/>
          <w:lang w:val="es-MX"/>
        </w:rPr>
        <w:t xml:space="preserve">, </w:t>
      </w:r>
      <w:r w:rsidR="00DB07E9" w:rsidRPr="00D36874">
        <w:rPr>
          <w:rFonts w:ascii="Arial" w:hAnsi="Arial" w:cs="Arial"/>
          <w:b/>
          <w:bCs/>
          <w:lang w:val="es-MX"/>
        </w:rPr>
        <w:t>Denali</w:t>
      </w:r>
      <w:r>
        <w:rPr>
          <w:rFonts w:ascii="Arial" w:hAnsi="Arial" w:cs="Arial"/>
          <w:b/>
          <w:bCs/>
          <w:lang w:val="es-MX"/>
        </w:rPr>
        <w:t xml:space="preserve"> y Fairbanks</w:t>
      </w:r>
    </w:p>
    <w:p w:rsidR="000A2029" w:rsidRPr="000A2029" w:rsidRDefault="000A202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0A2029" w:rsidRDefault="006169D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A2F51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0A2029">
        <w:rPr>
          <w:b/>
          <w:bCs/>
          <w:noProof/>
          <w:lang w:val="es-MX"/>
        </w:rPr>
        <w:t xml:space="preserve"> </w:t>
      </w:r>
    </w:p>
    <w:p w:rsidR="00E70DC2" w:rsidRPr="000A2029" w:rsidRDefault="00BE3A38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50A5F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diarias,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952CF1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mayo al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08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>septiembre 202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0A2029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0A202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71F85" w:rsidRPr="000A2029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0A2029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0A2029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0A2029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1.- </w:t>
      </w:r>
      <w:proofErr w:type="spellStart"/>
      <w:r w:rsidR="00341A25">
        <w:rPr>
          <w:rFonts w:ascii="Arial" w:hAnsi="Arial" w:cs="Arial"/>
          <w:b/>
          <w:bCs/>
          <w:lang w:val="es-MX"/>
        </w:rPr>
        <w:t>Seward</w:t>
      </w:r>
      <w:proofErr w:type="spellEnd"/>
      <w:r w:rsidR="00341A25">
        <w:rPr>
          <w:rFonts w:ascii="Arial" w:hAnsi="Arial" w:cs="Arial"/>
          <w:b/>
          <w:bCs/>
          <w:lang w:val="es-MX"/>
        </w:rPr>
        <w:t xml:space="preserve"> – Anchorage</w:t>
      </w:r>
    </w:p>
    <w:p w:rsidR="006D60BC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Una vez que hayan abordado el autobús comienza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su aventura por la panorámica Península de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Kenai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el Parque Estatal de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Chugach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>. En cada curva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descubrirá un impresionable paisaje. Seguirá esta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ruta hasta llegar a la ciudad más grande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cosmopolita de Alaska, llegará a Anchorage.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Anchorage es una ciudad única en la que el verano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se despliega la alegría emanada de colores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flores del centro de la ciudad. Después el resto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día es libre para realizar alguna actividad opcional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precio adicional o aprovechar las ofertas de verano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ya que en Anchorage no hay impuesto en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compras.</w:t>
      </w:r>
      <w:r w:rsidR="00B50A5F" w:rsidRPr="000A2029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0A2029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0A2029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2.- </w:t>
      </w:r>
      <w:r w:rsidR="00341A25">
        <w:rPr>
          <w:rFonts w:ascii="Arial" w:hAnsi="Arial" w:cs="Arial"/>
          <w:b/>
          <w:bCs/>
          <w:lang w:val="es-MX"/>
        </w:rPr>
        <w:t xml:space="preserve">Anchorage – </w:t>
      </w:r>
      <w:proofErr w:type="spellStart"/>
      <w:r w:rsidR="00341A25">
        <w:rPr>
          <w:rFonts w:ascii="Arial" w:hAnsi="Arial" w:cs="Arial"/>
          <w:b/>
          <w:bCs/>
          <w:lang w:val="es-MX"/>
        </w:rPr>
        <w:t>Talkeetna</w:t>
      </w:r>
      <w:proofErr w:type="spellEnd"/>
      <w:r w:rsidR="00341A25">
        <w:rPr>
          <w:rFonts w:ascii="Arial" w:hAnsi="Arial" w:cs="Arial"/>
          <w:b/>
          <w:bCs/>
          <w:lang w:val="es-MX"/>
        </w:rPr>
        <w:t xml:space="preserve"> – Denali</w:t>
      </w:r>
    </w:p>
    <w:p w:rsidR="00B50A5F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Después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un exquisito desayuno se dirigirá al punto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llegada del autobús, lo </w:t>
      </w:r>
      <w:r w:rsidRPr="00341A25">
        <w:rPr>
          <w:rFonts w:ascii="Arial" w:hAnsi="Arial" w:cs="Arial"/>
          <w:sz w:val="20"/>
          <w:szCs w:val="20"/>
          <w:lang w:val="es-MX"/>
        </w:rPr>
        <w:t>abordará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 y emprenderá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camino hacia el interior pasando por varias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poblaciones las cuales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aún reflejan un sentir del rustico y duro viejo Oeste.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Así continuara en su ruta hacia llegar al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341A25">
        <w:rPr>
          <w:rFonts w:ascii="Arial" w:hAnsi="Arial" w:cs="Arial"/>
          <w:sz w:val="20"/>
          <w:szCs w:val="20"/>
          <w:lang w:val="es-MX"/>
        </w:rPr>
        <w:t>arque</w:t>
      </w:r>
      <w:r>
        <w:rPr>
          <w:rFonts w:ascii="Arial" w:hAnsi="Arial" w:cs="Arial"/>
          <w:sz w:val="20"/>
          <w:szCs w:val="20"/>
          <w:lang w:val="es-MX"/>
        </w:rPr>
        <w:t xml:space="preserve"> N</w:t>
      </w:r>
      <w:r w:rsidRPr="00341A25">
        <w:rPr>
          <w:rFonts w:ascii="Arial" w:hAnsi="Arial" w:cs="Arial"/>
          <w:sz w:val="20"/>
          <w:szCs w:val="20"/>
          <w:lang w:val="es-MX"/>
        </w:rPr>
        <w:t>acional Denali, considerado la gema del estado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Alaska y el parque o lugar que los americanos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tienen es su lista para visitar antes de partir.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llegar al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341A25">
        <w:rPr>
          <w:rFonts w:ascii="Arial" w:hAnsi="Arial" w:cs="Arial"/>
          <w:sz w:val="20"/>
          <w:szCs w:val="20"/>
          <w:lang w:val="es-MX"/>
        </w:rPr>
        <w:t>arque</w:t>
      </w:r>
      <w:r>
        <w:rPr>
          <w:rFonts w:ascii="Arial" w:hAnsi="Arial" w:cs="Arial"/>
          <w:sz w:val="20"/>
          <w:szCs w:val="20"/>
          <w:lang w:val="es-MX"/>
        </w:rPr>
        <w:t xml:space="preserve"> N</w:t>
      </w:r>
      <w:r w:rsidRPr="00341A25">
        <w:rPr>
          <w:rFonts w:ascii="Arial" w:hAnsi="Arial" w:cs="Arial"/>
          <w:sz w:val="20"/>
          <w:szCs w:val="20"/>
          <w:lang w:val="es-MX"/>
        </w:rPr>
        <w:t>acional Denali considere hacer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alguna actividad opcional a precio adicional 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explore la naturaleza del área por su cuenta</w:t>
      </w:r>
      <w:r w:rsidR="00B50A5F" w:rsidRPr="000A2029">
        <w:rPr>
          <w:rFonts w:ascii="Arial" w:hAnsi="Arial" w:cs="Arial"/>
          <w:sz w:val="20"/>
          <w:szCs w:val="20"/>
          <w:lang w:val="es-MX"/>
        </w:rPr>
        <w:t xml:space="preserve">. </w:t>
      </w:r>
      <w:r w:rsidR="00B50A5F"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41A25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Denali</w:t>
      </w:r>
    </w:p>
    <w:p w:rsidR="00341A25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Muy temprano por la mañana hará Tour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Parque Nacional Denali donde podrá apreciar la vida silvestre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del parque disfrutará de los diferentes paisajes incrustados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variados ecosistemas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(Admisión al Parque Nacional Denali no incluida, $15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usd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se pagan en destino).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 Denali ha sido designado como reserva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natural y tiene un área de 6,000,000 de acres cuadrados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(2,428,1123 hectáreas). Tendrá oportunidad de ver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interminables valles y los bellos colores que los cubren.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suerte y puede observar y admirar a los 5 principales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mamíferos de Alaska, lobo, cabra salvaje, caribú, alce y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impresionante oso pardo. Esta alerta, porque en el momento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menos esperado y en lugar menos indicado puede aparecer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uno de estos animales ejemplares de Denali. Si el clima 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permite tendrá la suerte de observar el majestuoso monte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Denali, la montaña más alta de Norte América con una altitud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 20,320 pies (6193.5mts)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341A25" w:rsidRDefault="00341A25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41A25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Denali</w:t>
      </w:r>
      <w:r>
        <w:rPr>
          <w:rFonts w:ascii="Arial" w:hAnsi="Arial" w:cs="Arial"/>
          <w:b/>
          <w:bCs/>
          <w:lang w:val="es-MX"/>
        </w:rPr>
        <w:t xml:space="preserve"> – Fairbanks</w:t>
      </w:r>
    </w:p>
    <w:p w:rsidR="00341A25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Hoy Seguirá en ruta al interior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Alaska. Fairbanks es considerado el núcleo económico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corazón del interior de Alaska, donde la fiebre de oro tuvo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booming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a finales de los 1800s y posteriormente a mediados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del siglo pasado resurgió el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booming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con el descubrimiento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los pozos </w:t>
      </w:r>
      <w:r w:rsidRPr="00341A25">
        <w:rPr>
          <w:rFonts w:ascii="Arial" w:hAnsi="Arial" w:cs="Arial"/>
          <w:sz w:val="20"/>
          <w:szCs w:val="20"/>
          <w:lang w:val="es-MX"/>
        </w:rPr>
        <w:t>petroleros.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341A25" w:rsidRPr="000A2029" w:rsidRDefault="00341A25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0A2029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 w:rsidR="00341A25">
        <w:rPr>
          <w:rFonts w:ascii="Arial" w:hAnsi="Arial" w:cs="Arial"/>
          <w:b/>
          <w:bCs/>
          <w:lang w:val="es-MX"/>
        </w:rPr>
        <w:t>5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 w:rsidR="00341A25">
        <w:rPr>
          <w:rFonts w:ascii="Arial" w:hAnsi="Arial" w:cs="Arial"/>
          <w:b/>
          <w:bCs/>
          <w:lang w:val="es-MX"/>
        </w:rPr>
        <w:t>Fairbanks</w:t>
      </w:r>
    </w:p>
    <w:p w:rsidR="006D60BC" w:rsidRPr="000A2029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Hoy se recomienda contratar a precio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adicional un paseo por el rio Chena, visitara un campo tipo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pesca </w:t>
      </w:r>
      <w:r w:rsidRPr="00341A25">
        <w:rPr>
          <w:rFonts w:ascii="Arial" w:hAnsi="Arial" w:cs="Arial"/>
          <w:sz w:val="20"/>
          <w:szCs w:val="20"/>
          <w:lang w:val="es-MX"/>
        </w:rPr>
        <w:t>Athabasca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 o contratar la visita a una mina de </w:t>
      </w:r>
      <w:r w:rsidRPr="00341A25">
        <w:rPr>
          <w:rFonts w:ascii="Arial" w:hAnsi="Arial" w:cs="Arial"/>
          <w:sz w:val="20"/>
          <w:szCs w:val="20"/>
          <w:lang w:val="es-MX"/>
        </w:rPr>
        <w:t>oro. Traslado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 al aeropuerto por cuenta del pasajero.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0A2029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0A2029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0A2029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341A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requiere visa para ingresar a Estados Unidos</w:t>
      </w:r>
    </w:p>
    <w:p w:rsidR="00D778E7" w:rsidRPr="000A2029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0A202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>Incluye:</w:t>
      </w:r>
    </w:p>
    <w:p w:rsidR="00341A25" w:rsidRPr="00341A25" w:rsidRDefault="00341A25" w:rsidP="0018221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4</w:t>
      </w: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n</w:t>
      </w: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oches de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e</w:t>
      </w:r>
      <w:r w:rsidRPr="00341A25">
        <w:rPr>
          <w:rFonts w:ascii="Arial" w:hAnsi="Arial" w:cs="Arial"/>
          <w:bCs/>
          <w:sz w:val="20"/>
          <w:szCs w:val="20"/>
          <w:lang w:val="es-MX"/>
        </w:rPr>
        <w:t>stancia habitación</w:t>
      </w: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regular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4 </w:t>
      </w:r>
      <w:r>
        <w:rPr>
          <w:rFonts w:ascii="Arial" w:hAnsi="Arial" w:cs="Arial"/>
          <w:bCs/>
          <w:sz w:val="20"/>
          <w:szCs w:val="20"/>
          <w:lang w:val="es-MX"/>
        </w:rPr>
        <w:t>d</w:t>
      </w:r>
      <w:r w:rsidRPr="00341A25">
        <w:rPr>
          <w:rFonts w:ascii="Arial" w:hAnsi="Arial" w:cs="Arial"/>
          <w:bCs/>
          <w:sz w:val="20"/>
          <w:szCs w:val="20"/>
          <w:lang w:val="es-MX"/>
        </w:rPr>
        <w:t>esayunos continentales</w:t>
      </w:r>
    </w:p>
    <w:p w:rsidR="00341A25" w:rsidRDefault="00341A25" w:rsidP="007D640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Transporte terrestre de </w:t>
      </w:r>
      <w:proofErr w:type="spellStart"/>
      <w:r w:rsidRPr="00341A25">
        <w:rPr>
          <w:rFonts w:ascii="Arial" w:hAnsi="Arial" w:cs="Arial"/>
          <w:bCs/>
          <w:sz w:val="20"/>
          <w:szCs w:val="20"/>
          <w:lang w:val="es-MX"/>
        </w:rPr>
        <w:t>Seward</w:t>
      </w:r>
      <w:proofErr w:type="spellEnd"/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 Anchorage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Transporte terrestre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Anchorage a Denali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Tour dentro del Parque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Nacional Denali en </w:t>
      </w:r>
      <w:r>
        <w:rPr>
          <w:rFonts w:ascii="Arial" w:hAnsi="Arial" w:cs="Arial"/>
          <w:bCs/>
          <w:sz w:val="20"/>
          <w:szCs w:val="20"/>
          <w:lang w:val="es-MX"/>
        </w:rPr>
        <w:t>i</w:t>
      </w:r>
      <w:r w:rsidRPr="00341A25">
        <w:rPr>
          <w:rFonts w:ascii="Arial" w:hAnsi="Arial" w:cs="Arial"/>
          <w:bCs/>
          <w:sz w:val="20"/>
          <w:szCs w:val="20"/>
          <w:lang w:val="es-MX"/>
        </w:rPr>
        <w:t>ngl</w:t>
      </w:r>
      <w:r>
        <w:rPr>
          <w:rFonts w:ascii="Arial" w:hAnsi="Arial" w:cs="Arial"/>
          <w:bCs/>
          <w:sz w:val="20"/>
          <w:szCs w:val="20"/>
          <w:lang w:val="es-MX"/>
        </w:rPr>
        <w:t>é</w:t>
      </w:r>
      <w:r w:rsidRPr="00341A25">
        <w:rPr>
          <w:rFonts w:ascii="Arial" w:hAnsi="Arial" w:cs="Arial"/>
          <w:bCs/>
          <w:sz w:val="20"/>
          <w:szCs w:val="20"/>
          <w:lang w:val="es-MX"/>
        </w:rPr>
        <w:t>s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Pr="00341A25">
        <w:rPr>
          <w:rFonts w:ascii="Arial" w:hAnsi="Arial" w:cs="Arial"/>
          <w:bCs/>
          <w:sz w:val="20"/>
          <w:szCs w:val="20"/>
          <w:lang w:val="es-MX"/>
        </w:rPr>
        <w:t>ransporte terrestre de Denali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 Fairbanks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6169D8" w:rsidRDefault="006169D8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0A202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>No incluye: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0A2029">
        <w:rPr>
          <w:rFonts w:ascii="Arial" w:hAnsi="Arial" w:cs="Arial"/>
          <w:sz w:val="20"/>
          <w:szCs w:val="20"/>
          <w:lang w:val="es-MX"/>
        </w:rPr>
        <w:t>aéreo</w:t>
      </w:r>
    </w:p>
    <w:p w:rsidR="00341A25" w:rsidRDefault="00341A25" w:rsidP="00341A2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Impuestos permisos y tasas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aplicables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0A2029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341A25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0A202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0A2029" w:rsidRDefault="006169D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edad del menor</w:t>
      </w:r>
    </w:p>
    <w:p w:rsidR="00FD66BF" w:rsidRPr="000A2029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0A2029">
        <w:rPr>
          <w:rFonts w:ascii="Arial" w:hAnsi="Arial" w:cs="Arial"/>
          <w:sz w:val="20"/>
          <w:szCs w:val="20"/>
          <w:lang w:val="es-MX"/>
        </w:rPr>
        <w:t>h</w:t>
      </w:r>
      <w:r w:rsidR="00A2433E" w:rsidRPr="000A2029">
        <w:rPr>
          <w:rFonts w:ascii="Arial" w:hAnsi="Arial" w:cs="Arial"/>
          <w:sz w:val="20"/>
          <w:szCs w:val="20"/>
          <w:lang w:val="es-MX"/>
        </w:rPr>
        <w:t>abitación</w:t>
      </w:r>
      <w:r w:rsidRPr="000A202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0A2029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D36874" w:rsidRDefault="00D36874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3687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Al ser Alaska un destino con mucha demanda, es necesario prepagar el 50% al momento de generar la reserva (no reembolsable).</w:t>
      </w:r>
    </w:p>
    <w:p w:rsidR="00341A25" w:rsidRPr="00341A25" w:rsidRDefault="00341A25" w:rsidP="00341A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El pasajero debe trasladarse por su cuenta: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punto de llegada del autobús al hotel.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hotel al punto de salida del autobús.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 xml:space="preserve">-Del hotel a las activadas y </w:t>
      </w:r>
      <w:proofErr w:type="spellStart"/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v.v</w:t>
      </w:r>
      <w:proofErr w:type="spellEnd"/>
    </w:p>
    <w:p w:rsidR="00341A25" w:rsidRPr="00D36874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hotel al aeropuerto.</w:t>
      </w:r>
    </w:p>
    <w:p w:rsidR="000408A6" w:rsidRDefault="000408A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1954"/>
        <w:gridCol w:w="837"/>
      </w:tblGrid>
      <w:tr w:rsidR="00341A25" w:rsidRPr="00341A25" w:rsidTr="00341A25">
        <w:trPr>
          <w:trHeight w:val="238"/>
          <w:jc w:val="center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ANCHORAGE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SHERATON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DENALI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BLUFFS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FAIRBANKS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HYATT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41A25" w:rsidRDefault="00341A2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708"/>
        <w:gridCol w:w="707"/>
        <w:gridCol w:w="707"/>
        <w:gridCol w:w="707"/>
        <w:gridCol w:w="740"/>
      </w:tblGrid>
      <w:tr w:rsidR="00341A25" w:rsidRPr="00341A25" w:rsidTr="00341A25">
        <w:trPr>
          <w:trHeight w:val="266"/>
          <w:jc w:val="center"/>
        </w:trPr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58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lang w:val="es-MX" w:eastAsia="es-MX" w:bidi="ar-SA"/>
              </w:rPr>
              <w:t>19 MAY - 08 SEP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2830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1550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58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41A25" w:rsidRPr="00341A25" w:rsidTr="00341A25">
        <w:trPr>
          <w:trHeight w:val="266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lang w:val="es-MX" w:eastAsia="es-MX" w:bidi="ar-SA"/>
              </w:rPr>
              <w:t>19 MAY - 08 SEP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4730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4580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4450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5500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5" w:rsidRPr="00341A25" w:rsidRDefault="00AB222B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34</w:t>
            </w:r>
            <w:r w:rsidR="00341A25" w:rsidRPr="00341A25">
              <w:rPr>
                <w:rFonts w:ascii="Calibri" w:hAnsi="Calibri" w:cs="Calibri"/>
                <w:b/>
                <w:bCs/>
                <w:lang w:val="es-MX" w:eastAsia="es-MX" w:bidi="ar-SA"/>
              </w:rPr>
              <w:t>50</w:t>
            </w:r>
          </w:p>
        </w:tc>
      </w:tr>
    </w:tbl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</w:tblGrid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ANCHORAGE - FAIRBANKS - DENVER - HOUSTON - MÉXICO</w:t>
            </w:r>
          </w:p>
        </w:tc>
      </w:tr>
      <w:tr w:rsidR="00341A25" w:rsidRPr="00341A25" w:rsidTr="00341A25">
        <w:trPr>
          <w:trHeight w:val="226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341A25" w:rsidRPr="00341A25" w:rsidTr="00341A25">
        <w:trPr>
          <w:trHeight w:val="226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19 DE MAYO AL 08 DE SEPTIEMBRE 2025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41A25" w:rsidRDefault="00341A2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6D3A0E99" wp14:editId="674F0069">
            <wp:extent cx="2466975" cy="582324"/>
            <wp:effectExtent l="0" t="0" r="0" b="8255"/>
            <wp:docPr id="1955272018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2482DBD-56A3-464C-B834-22E53A6405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2482DBD-56A3-464C-B834-22E53A64051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604"/>
        <w:gridCol w:w="604"/>
        <w:gridCol w:w="604"/>
        <w:gridCol w:w="604"/>
        <w:gridCol w:w="620"/>
      </w:tblGrid>
      <w:tr w:rsidR="00341A25" w:rsidRPr="00341A25" w:rsidTr="00341A25">
        <w:trPr>
          <w:trHeight w:val="238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80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EN ESPAÑOL CON GUÍA ACOMPAÑANTE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341A25" w:rsidRPr="00341A25" w:rsidTr="00341A25">
        <w:trPr>
          <w:trHeight w:val="250"/>
          <w:jc w:val="center"/>
        </w:trPr>
        <w:tc>
          <w:tcPr>
            <w:tcW w:w="8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FECHAS ESPECÍFICAS: 20 MAYO / 01, 13, 25 JUNIO / 07, 19, 31 JULIO / 12, 24 AGOSTO / 05 SEPTIEMBRE</w:t>
            </w:r>
          </w:p>
        </w:tc>
      </w:tr>
    </w:tbl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41A25" w:rsidSect="000A2029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6B4" w:rsidRDefault="007936B4" w:rsidP="00450C15">
      <w:pPr>
        <w:spacing w:after="0" w:line="240" w:lineRule="auto"/>
      </w:pPr>
      <w:r>
        <w:separator/>
      </w:r>
    </w:p>
  </w:endnote>
  <w:endnote w:type="continuationSeparator" w:id="0">
    <w:p w:rsidR="007936B4" w:rsidRDefault="007936B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C976F9" wp14:editId="3FE5EA1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4E5C6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6B4" w:rsidRDefault="007936B4" w:rsidP="00450C15">
      <w:pPr>
        <w:spacing w:after="0" w:line="240" w:lineRule="auto"/>
      </w:pPr>
      <w:r>
        <w:separator/>
      </w:r>
    </w:p>
  </w:footnote>
  <w:footnote w:type="continuationSeparator" w:id="0">
    <w:p w:rsidR="007936B4" w:rsidRDefault="007936B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6077E2" wp14:editId="58E4042C">
              <wp:simplePos x="0" y="0"/>
              <wp:positionH relativeFrom="column">
                <wp:posOffset>-468630</wp:posOffset>
              </wp:positionH>
              <wp:positionV relativeFrom="paragraph">
                <wp:posOffset>-243205</wp:posOffset>
              </wp:positionV>
              <wp:extent cx="5143500" cy="876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41A25" w:rsidRDefault="006D60B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ALASK</w:t>
                          </w:r>
                          <w:r w:rsidR="00B50A5F"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341A25"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POST CRUCERO</w:t>
                          </w:r>
                        </w:p>
                        <w:p w:rsidR="007E6927" w:rsidRPr="007E6927" w:rsidRDefault="00341A25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1403-E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077E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6.9pt;margin-top:-19.15pt;width:40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" filled="f" stroked="f">
              <v:textbox>
                <w:txbxContent>
                  <w:p w:rsidR="00955A20" w:rsidRPr="00341A25" w:rsidRDefault="006D60B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ALASK</w:t>
                    </w:r>
                    <w:r w:rsidR="00B50A5F"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341A25"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POST CRUCERO</w:t>
                    </w:r>
                  </w:p>
                  <w:p w:rsidR="007E6927" w:rsidRPr="007E6927" w:rsidRDefault="00341A25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1403-E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E80FB7A" wp14:editId="753C5BF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7A050F2" wp14:editId="4C4E1B7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0B657" wp14:editId="43E0091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8FD09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F31"/>
    <w:multiLevelType w:val="hybridMultilevel"/>
    <w:tmpl w:val="08E80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61586">
    <w:abstractNumId w:val="7"/>
  </w:num>
  <w:num w:numId="2" w16cid:durableId="1791705986">
    <w:abstractNumId w:val="5"/>
  </w:num>
  <w:num w:numId="3" w16cid:durableId="785390128">
    <w:abstractNumId w:val="1"/>
  </w:num>
  <w:num w:numId="4" w16cid:durableId="1514417928">
    <w:abstractNumId w:val="16"/>
  </w:num>
  <w:num w:numId="5" w16cid:durableId="1076324280">
    <w:abstractNumId w:val="2"/>
  </w:num>
  <w:num w:numId="6" w16cid:durableId="1204100953">
    <w:abstractNumId w:val="6"/>
  </w:num>
  <w:num w:numId="7" w16cid:durableId="2050059016">
    <w:abstractNumId w:val="17"/>
  </w:num>
  <w:num w:numId="8" w16cid:durableId="2079983373">
    <w:abstractNumId w:val="9"/>
  </w:num>
  <w:num w:numId="9" w16cid:durableId="1736663480">
    <w:abstractNumId w:val="15"/>
  </w:num>
  <w:num w:numId="10" w16cid:durableId="1155880453">
    <w:abstractNumId w:val="4"/>
  </w:num>
  <w:num w:numId="11" w16cid:durableId="521093363">
    <w:abstractNumId w:val="13"/>
  </w:num>
  <w:num w:numId="12" w16cid:durableId="101918753">
    <w:abstractNumId w:val="11"/>
  </w:num>
  <w:num w:numId="13" w16cid:durableId="1556894505">
    <w:abstractNumId w:val="14"/>
  </w:num>
  <w:num w:numId="14" w16cid:durableId="1845049882">
    <w:abstractNumId w:val="12"/>
  </w:num>
  <w:num w:numId="15" w16cid:durableId="713309774">
    <w:abstractNumId w:val="3"/>
  </w:num>
  <w:num w:numId="16" w16cid:durableId="390033376">
    <w:abstractNumId w:val="10"/>
  </w:num>
  <w:num w:numId="17" w16cid:durableId="1321731019">
    <w:abstractNumId w:val="8"/>
  </w:num>
  <w:num w:numId="18" w16cid:durableId="19914049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2029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2DDF"/>
    <w:rsid w:val="00104776"/>
    <w:rsid w:val="00104A7E"/>
    <w:rsid w:val="001056F5"/>
    <w:rsid w:val="00106CE3"/>
    <w:rsid w:val="00113C32"/>
    <w:rsid w:val="00115DF1"/>
    <w:rsid w:val="001235B1"/>
    <w:rsid w:val="00124C0C"/>
    <w:rsid w:val="00132220"/>
    <w:rsid w:val="00133A9B"/>
    <w:rsid w:val="0014790D"/>
    <w:rsid w:val="00156E7E"/>
    <w:rsid w:val="0015705F"/>
    <w:rsid w:val="001626E3"/>
    <w:rsid w:val="00170958"/>
    <w:rsid w:val="00170AD4"/>
    <w:rsid w:val="00177258"/>
    <w:rsid w:val="001855E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D6BC0"/>
    <w:rsid w:val="002F25DA"/>
    <w:rsid w:val="002F560C"/>
    <w:rsid w:val="0030170C"/>
    <w:rsid w:val="00313503"/>
    <w:rsid w:val="00336856"/>
    <w:rsid w:val="003370E9"/>
    <w:rsid w:val="00341A25"/>
    <w:rsid w:val="00343DFC"/>
    <w:rsid w:val="0034690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280D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917A1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667D4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169D8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4367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E4591"/>
    <w:rsid w:val="006F44DD"/>
    <w:rsid w:val="006F45DE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36B4"/>
    <w:rsid w:val="00796249"/>
    <w:rsid w:val="00796421"/>
    <w:rsid w:val="007A1DAF"/>
    <w:rsid w:val="007A6A9E"/>
    <w:rsid w:val="007B3B61"/>
    <w:rsid w:val="007B4221"/>
    <w:rsid w:val="007B5A10"/>
    <w:rsid w:val="007C3BB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0EB7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2CF1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4E5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222B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05A00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E3A38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36874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07E9"/>
    <w:rsid w:val="00DD29DB"/>
    <w:rsid w:val="00DD35B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54BB"/>
    <w:rsid w:val="00EC6694"/>
    <w:rsid w:val="00EC6EC2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C54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5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006A-8C4D-474B-9BC1-7CE54015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2024-11-25T20:38:00Z</dcterms:created>
  <dcterms:modified xsi:type="dcterms:W3CDTF">2024-11-25T20:38:00Z</dcterms:modified>
</cp:coreProperties>
</file>