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3D2D" w14:textId="23BDB582" w:rsidR="000555A2" w:rsidRPr="00A00179" w:rsidRDefault="00020429" w:rsidP="0096145D">
      <w:pPr>
        <w:pStyle w:val="NoSpacing"/>
        <w:ind w:left="708"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00179">
        <w:rPr>
          <w:rFonts w:ascii="Arial" w:hAnsi="Arial" w:cs="Arial"/>
          <w:b/>
          <w:sz w:val="24"/>
          <w:szCs w:val="24"/>
          <w:lang w:val="es-MX"/>
        </w:rPr>
        <w:t>Bangkok, Chiang Mai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 y playa: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Phuket</w:t>
      </w:r>
      <w:proofErr w:type="spellEnd"/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Krabi</w:t>
      </w:r>
      <w:proofErr w:type="spellEnd"/>
      <w:r w:rsidR="001F5E17">
        <w:rPr>
          <w:rFonts w:ascii="Arial" w:hAnsi="Arial" w:cs="Arial"/>
          <w:b/>
          <w:sz w:val="24"/>
          <w:szCs w:val="24"/>
          <w:lang w:val="es-MX"/>
        </w:rPr>
        <w:t xml:space="preserve"> o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 Isla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Samui</w:t>
      </w:r>
      <w:proofErr w:type="spellEnd"/>
    </w:p>
    <w:p w14:paraId="7399B2A6" w14:textId="77777777" w:rsidR="007B62D3" w:rsidRDefault="007B62D3" w:rsidP="00B3733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</w:p>
    <w:p w14:paraId="6A677932" w14:textId="4CCF6301" w:rsidR="00B37339" w:rsidRPr="00A00179" w:rsidRDefault="00A00179" w:rsidP="00B3733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</w:t>
      </w:r>
      <w:r w:rsidR="009157A7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1EA16CC6" w14:textId="5D30AE52" w:rsidR="00B37339" w:rsidRPr="00A00179" w:rsidRDefault="007B62D3" w:rsidP="00B3733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CABEE2" wp14:editId="49CB3DB9">
            <wp:simplePos x="0" y="0"/>
            <wp:positionH relativeFrom="margin">
              <wp:posOffset>4461510</wp:posOffset>
            </wp:positionH>
            <wp:positionV relativeFrom="paragraph">
              <wp:posOffset>10160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2DA"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00179">
        <w:rPr>
          <w:rFonts w:ascii="Arial" w:hAnsi="Arial" w:cs="Arial"/>
          <w:b/>
          <w:sz w:val="20"/>
          <w:szCs w:val="20"/>
          <w:lang w:val="es-MX"/>
        </w:rPr>
        <w:t>diarias</w:t>
      </w:r>
      <w:r w:rsidR="00560EAF" w:rsidRPr="00A00179">
        <w:rPr>
          <w:rFonts w:ascii="Arial" w:hAnsi="Arial" w:cs="Arial"/>
          <w:b/>
          <w:sz w:val="20"/>
          <w:szCs w:val="20"/>
          <w:lang w:val="es-MX"/>
        </w:rPr>
        <w:t xml:space="preserve"> de abril 202</w:t>
      </w:r>
      <w:r w:rsidR="0036251E">
        <w:rPr>
          <w:rFonts w:ascii="Arial" w:hAnsi="Arial" w:cs="Arial"/>
          <w:b/>
          <w:sz w:val="20"/>
          <w:szCs w:val="20"/>
          <w:lang w:val="es-MX"/>
        </w:rPr>
        <w:t>4</w:t>
      </w:r>
      <w:r w:rsidR="003A19DA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9157A7">
        <w:rPr>
          <w:rFonts w:ascii="Arial" w:hAnsi="Arial" w:cs="Arial"/>
          <w:b/>
          <w:sz w:val="20"/>
          <w:szCs w:val="20"/>
          <w:lang w:val="es-MX"/>
        </w:rPr>
        <w:t>marzo 2025</w:t>
      </w:r>
    </w:p>
    <w:p w14:paraId="31D6BA34" w14:textId="77777777" w:rsidR="00560EAF" w:rsidRPr="00A00179" w:rsidRDefault="00560EAF" w:rsidP="00B37339">
      <w:pPr>
        <w:pStyle w:val="NoSpacing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15B2214E" w14:textId="77777777" w:rsidR="00560EAF" w:rsidRPr="00A00179" w:rsidRDefault="00560EAF" w:rsidP="00560EAF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6DB45A97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B0447F8" w14:textId="77777777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2E49CB56" w14:textId="569ADE41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los espera su guía de habla hispana y traslado al hotel. Tiempo libre hasta </w:t>
      </w:r>
      <w:proofErr w:type="gram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check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-in</w:t>
      </w:r>
      <w:proofErr w:type="gram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 según disponibilidad (normalmente las habitaciones están disponibles a partir de las 1</w:t>
      </w:r>
      <w:r w:rsidR="00842CC8">
        <w:rPr>
          <w:rFonts w:ascii="Arial" w:hAnsi="Arial" w:cs="Arial"/>
          <w:bCs/>
          <w:sz w:val="20"/>
          <w:szCs w:val="20"/>
          <w:lang w:val="es-MX" w:eastAsia="es-ES" w:bidi="ar-SA"/>
        </w:rPr>
        <w:t>5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.00h</w:t>
      </w:r>
      <w:r w:rsidR="006517DF">
        <w:rPr>
          <w:rFonts w:ascii="Arial" w:hAnsi="Arial" w:cs="Arial"/>
          <w:bCs/>
          <w:sz w:val="20"/>
          <w:szCs w:val="20"/>
          <w:lang w:val="es-MX" w:eastAsia="es-ES" w:bidi="ar-SA"/>
        </w:rPr>
        <w:t>rs.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).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hotel</w:t>
      </w:r>
    </w:p>
    <w:p w14:paraId="600A7EB4" w14:textId="77777777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DAB9EC7" w14:textId="77777777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0BF6F48A" w14:textId="2F4F91FE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 a tres de los templos budistas más inusuales de la ciudad. Empezaremos por el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Traimit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situado en el extremo de Chinatown, en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Yaowarat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Road, cerca de la estación de tren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Hualampong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Traimit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alberga el Buda de oro macizo más grande del mundo, midiendo casi cinco metros de altura con un peso de cinco toneladas y media. La excursión continuará hacia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Pho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el templo más grande de Bangkok. El templo del enorme Buda reclinado y los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Chedis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los Reyes. Este se encuentra detrás del Templo del Buda. Es uno de los mayores templos de la ciudad y famoso por su gigantesco Buda reclinado que mide 46 metros de largo y está cubierto de oro. A continuación, visitarán el </w:t>
      </w:r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Palacio Real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es sin duda, el monumento más famoso de la ciudad. Construido en 1782, por 150 años fue la casa del rey de Tailandia, la corte real y la sede administrativa del gobierno. El Gran Palacio de Bangkok es un edificio antiguo que </w:t>
      </w:r>
      <w:r w:rsidR="002031BF"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continúa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impresionando a sus visitantes por su hermosa arquitectura y detalles. Dentro del complejo, se encuentra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Phra</w:t>
      </w:r>
      <w:proofErr w:type="spellEnd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Kaew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o el Templo del Buda Esmeralda (oficialmente conocido como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Phra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Sri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Rattana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Satsadaram</w:t>
      </w:r>
      <w:proofErr w:type="spellEnd"/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considerado como el templo budista más importante de Tailandia, consagra la imagen de un muy reverenciado Buda meticulosamente tallado en un solo bloque de jade.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Alojamient</w:t>
      </w:r>
      <w:r w:rsidRPr="006517D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o </w:t>
      </w:r>
      <w:r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6517DF" w:rsidRPr="006517DF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1C10071C" w14:textId="77777777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DED80C2" w14:textId="27349AFC" w:rsidR="009C7D24" w:rsidRPr="00842CC8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3.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9157A7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 -</w:t>
      </w:r>
      <w:r w:rsidR="00F04C6C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Chiang Mai</w:t>
      </w:r>
      <w:r w:rsidR="006517DF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0B71662D" w14:textId="59ECD2A2" w:rsidR="009C7D24" w:rsidRPr="006517DF" w:rsidRDefault="009C7D24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Desayuno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Traslado al aeropuerto de Bangkok para conectar con el vuelo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="00135363"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hacia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Chiang Mai</w:t>
      </w:r>
      <w:r w:rsidR="006517DF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="006517DF" w:rsidRPr="006517DF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>(vuelo incluido)</w:t>
      </w:r>
      <w:r w:rsidR="006517DF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Llegada al aeropuerto de Chiang Mai y traslado al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Alojamiento en el hotel.</w:t>
      </w:r>
    </w:p>
    <w:p w14:paraId="18697BB5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21BB7A70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4.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Chiang Mai</w:t>
      </w:r>
    </w:p>
    <w:p w14:paraId="459D5792" w14:textId="19909639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Visita a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Doi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Suthep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un templo magníficamente ubicado, encaramado en lo alto de una montaña boscosa a 1000 metros de altura. Este templo sagrado ofrece una vista espectacular de la ciudad, así como también una gran variedad de imágenes y frescos. Luego, descenderemos y recorreremos el mercado más grande de la ciudad,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Talat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Warorod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antes de finalizar con dos importantes templos,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Wat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Chedi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Luang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y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Wat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Phra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Singh.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Wat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Phra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Singh, el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Templo del Buda León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es el más visitado de Chiang Mai, construido en 1345 y uno de los ejemplos más prominentes de la arquitectura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Lanna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y el epicentro de las festividades de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Songkran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entre los fieles budistas. Luego, visitará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Chedi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Luang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construído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hace alrededor de 600 años en torno a un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chedi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estilo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Lanna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parcialmente en ruinas datado desde 1441, que se cree que fue una de las estructuras más altas de la antigua Chiang Mai. Aparte de estos dos templos, también visitará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Wat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Suan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Dok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, que guarda los restos de muchas generaciones de la Familia Real de Chiang Mai. Traslado de regreso al hotel.</w:t>
      </w:r>
      <w:r w:rsidR="006517DF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en el hotel.</w:t>
      </w:r>
    </w:p>
    <w:p w14:paraId="403549AA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757DF7D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5.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Chiang Mai </w:t>
      </w:r>
    </w:p>
    <w:p w14:paraId="6125AB5B" w14:textId="1B078D5F" w:rsidR="009C7D24" w:rsidRDefault="009C7D24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Día libre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903712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</w:t>
      </w:r>
      <w:r w:rsidR="00903712" w:rsidRPr="00903712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</w:p>
    <w:p w14:paraId="0BC7265E" w14:textId="7217A81B" w:rsidR="00F04C6C" w:rsidRDefault="00F04C6C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527DE20A" w14:textId="16E174A5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E518A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6. Chiang Mai – Phuket o Krabi o Phi </w:t>
      </w:r>
      <w:proofErr w:type="spellStart"/>
      <w:r w:rsidRPr="00E518A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Phi</w:t>
      </w:r>
      <w:proofErr w:type="spellEnd"/>
      <w:r w:rsidRPr="00E518A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Isla o Samui</w:t>
      </w:r>
      <w:r w:rsidR="00903712" w:rsidRPr="00E518A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Traslado al aeropuerto de Chiang Mai para conectar con el vuelo a hacia 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>el destino seleccionado</w:t>
      </w:r>
      <w:r w:rsidR="00903712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="00903712" w:rsidRPr="006517DF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>(</w:t>
      </w:r>
      <w:r w:rsidR="00903712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>se incluye vuelo a la playa que se elija</w:t>
      </w:r>
      <w:r w:rsidR="00903712" w:rsidRPr="006517DF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>)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Llegada al aeropuerto 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y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traslado al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EC7C37">
        <w:rPr>
          <w:rFonts w:ascii="Arial" w:hAnsi="Arial" w:cs="Arial"/>
          <w:b/>
          <w:sz w:val="20"/>
          <w:szCs w:val="20"/>
          <w:lang w:val="es-ES" w:eastAsia="es-ES" w:bidi="ar-SA"/>
        </w:rPr>
        <w:t>en el hotel.</w:t>
      </w:r>
    </w:p>
    <w:p w14:paraId="42558D66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lastRenderedPageBreak/>
        <w:t>Día 7</w:t>
      </w:r>
      <w:r w:rsidR="0013536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,8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Phuket o Krabi o Phi </w:t>
      </w:r>
      <w:proofErr w:type="spellStart"/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Phi</w:t>
      </w:r>
      <w:proofErr w:type="spellEnd"/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Isla o Samui</w:t>
      </w:r>
    </w:p>
    <w:p w14:paraId="671E4DE1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Día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>s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>l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ibre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>s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EC7C37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hotel.</w:t>
      </w:r>
    </w:p>
    <w:p w14:paraId="109EAA0D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31EE6B1F" w14:textId="136F1BE2" w:rsidR="009C7D24" w:rsidRPr="00842CC8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9. 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Phuket o Krabi o Phi </w:t>
      </w:r>
      <w:proofErr w:type="spellStart"/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Phi</w:t>
      </w:r>
      <w:proofErr w:type="spellEnd"/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Isla o Samui </w:t>
      </w:r>
      <w:r w:rsidR="00A4177E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BANGKOK</w:t>
      </w:r>
      <w:r w:rsidR="00A4177E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  <w:r w:rsidR="00F04C6C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</w:r>
    </w:p>
    <w:p w14:paraId="22905928" w14:textId="21E773F8" w:rsidR="000555A2" w:rsidRPr="00A00179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y salida en el vuelo hacia 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>Bangko</w:t>
      </w:r>
      <w:r w:rsidR="006B115D">
        <w:rPr>
          <w:rFonts w:ascii="Arial" w:hAnsi="Arial" w:cs="Arial"/>
          <w:sz w:val="20"/>
          <w:szCs w:val="20"/>
          <w:lang w:val="es-MX" w:eastAsia="es-ES" w:bidi="ar-SA"/>
        </w:rPr>
        <w:t>k</w:t>
      </w:r>
      <w:r w:rsidR="00A4177E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A4177E" w:rsidRPr="00A4177E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Pr="00A4177E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C0682D" w:rsidRPr="00A4177E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 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Traslado al hotel. Tarde libre. </w:t>
      </w:r>
      <w:r w:rsidR="00EC7C37" w:rsidRPr="00EC7C37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hotel.</w:t>
      </w:r>
    </w:p>
    <w:p w14:paraId="16B925A8" w14:textId="77777777" w:rsidR="00C0682D" w:rsidRPr="00A00179" w:rsidRDefault="00C0682D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7E65481" w14:textId="77777777" w:rsidR="00C0682D" w:rsidRPr="00A00179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9C7D24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</w:p>
    <w:p w14:paraId="3A44B4BA" w14:textId="77777777" w:rsidR="00C0682D" w:rsidRPr="00A00179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3889CE97" w14:textId="77777777" w:rsidR="00F26C4A" w:rsidRPr="00A00179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9C7569E" w14:textId="77777777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0F52A41F" w14:textId="04822AF5" w:rsidR="00C10C87" w:rsidRDefault="00C10C87" w:rsidP="00C10C8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713356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Alojamiento con desayuno</w:t>
      </w:r>
      <w:r w:rsidR="00EC7C3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diario.</w:t>
      </w:r>
      <w:r w:rsidRPr="00713356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</w:p>
    <w:p w14:paraId="706EFFFE" w14:textId="3A053624" w:rsidR="00520647" w:rsidRPr="00A00179" w:rsidRDefault="00520647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siones con guía </w:t>
      </w:r>
      <w:r w:rsidR="00EC7C37">
        <w:rPr>
          <w:rFonts w:ascii="Arial" w:hAnsi="Arial" w:cs="Arial"/>
          <w:sz w:val="20"/>
          <w:szCs w:val="20"/>
          <w:lang w:val="es-MX" w:eastAsia="es-ES" w:bidi="ar-SA"/>
        </w:rPr>
        <w:t>en español</w:t>
      </w:r>
      <w:r w:rsidR="00D14153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 en servicio compartido</w:t>
      </w:r>
      <w:r w:rsidR="00135363">
        <w:rPr>
          <w:rFonts w:ascii="Arial" w:hAnsi="Arial" w:cs="Arial"/>
          <w:sz w:val="20"/>
          <w:szCs w:val="20"/>
          <w:lang w:val="es-MX" w:eastAsia="es-ES" w:bidi="ar-SA"/>
        </w:rPr>
        <w:t xml:space="preserve"> en Bangkok y Chiang Mai</w:t>
      </w:r>
      <w:r w:rsidR="00EC7C3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6D5F9F18" w14:textId="77777777" w:rsidR="00520647" w:rsidRPr="00A00179" w:rsidRDefault="00520647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867443F" w14:textId="77777777" w:rsidR="00E344BC" w:rsidRPr="00A00179" w:rsidRDefault="00520647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16D73951" w14:textId="1AFC4C9E" w:rsidR="00EC7C37" w:rsidRDefault="00A95C24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Vuelo</w:t>
      </w:r>
      <w:r w:rsidR="00EC7C3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interno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en clase turista 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>Bangkok -</w:t>
      </w:r>
      <w:r w:rsidR="00EC7C3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Chiang Mai </w:t>
      </w:r>
    </w:p>
    <w:p w14:paraId="47BAAB59" w14:textId="11FCB3EC" w:rsidR="00EC7C37" w:rsidRPr="009157A7" w:rsidRDefault="00EC7C37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Vuelo interno </w:t>
      </w:r>
      <w:r w:rsidR="009157A7"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en clase turista </w:t>
      </w:r>
      <w:r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</w:t>
      </w:r>
      <w:r w:rsidR="00135363"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Playa (a elegir) </w:t>
      </w:r>
    </w:p>
    <w:p w14:paraId="2BBFD97F" w14:textId="6D78B437" w:rsidR="00DE01EC" w:rsidRPr="00DE01EC" w:rsidRDefault="00EC7C37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Vuelo interno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en clase turista para una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playa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(a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elegir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>)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– </w:t>
      </w:r>
      <w:r w:rsidR="00A95C24"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Bangkok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(opción isla Phi </w:t>
      </w:r>
      <w:proofErr w:type="spellStart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Phi</w:t>
      </w:r>
      <w:proofErr w:type="spellEnd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se vuela a </w:t>
      </w:r>
      <w:proofErr w:type="spellStart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Phuket</w:t>
      </w:r>
      <w:proofErr w:type="spellEnd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/ </w:t>
      </w:r>
      <w:proofErr w:type="spellStart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Krabi</w:t>
      </w:r>
      <w:proofErr w:type="spellEnd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y después se toma lancha/ferry para llegar al hotel)</w:t>
      </w:r>
      <w:r w:rsidR="007C24BB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7CB1E758" w14:textId="4599ECE3" w:rsidR="00A95C24" w:rsidRPr="00DE01EC" w:rsidRDefault="00DE01EC" w:rsidP="00DE01EC">
      <w:pPr>
        <w:pStyle w:val="ListParagraph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vuelan desde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K</w:t>
      </w: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rabi</w:t>
      </w:r>
      <w:proofErr w:type="spellEnd"/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, se cobrará un suplemento por el traslado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205 USD por</w:t>
      </w: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persona y trayecto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6F99D12C" w14:textId="57692888" w:rsidR="00135363" w:rsidRPr="0062258E" w:rsidRDefault="007C24BB" w:rsidP="00E344B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1 maleta documentada de 20 kg en cada vuelo interno</w:t>
      </w:r>
    </w:p>
    <w:p w14:paraId="75EADA6A" w14:textId="77777777" w:rsidR="00F44715" w:rsidRPr="00F44715" w:rsidRDefault="00F44715" w:rsidP="00E344BC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s-MX" w:eastAsia="es-ES" w:bidi="ar-SA"/>
        </w:rPr>
      </w:pPr>
    </w:p>
    <w:p w14:paraId="7AFA85B5" w14:textId="32D02366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77E8735A" w14:textId="77777777" w:rsidR="00520647" w:rsidRPr="00A00179" w:rsidRDefault="00135363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6F553AAE" w14:textId="77777777" w:rsidR="00520647" w:rsidRPr="009E31CB" w:rsidRDefault="00A95C24" w:rsidP="003F56B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E31CB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33B928A3" w14:textId="77777777" w:rsidR="00520647" w:rsidRPr="00A00179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6158BFC4" w14:textId="77777777" w:rsidR="00520647" w:rsidRPr="00A00179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4C1B824" w14:textId="77777777" w:rsidR="00E344BC" w:rsidRPr="00A00179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36C2132C" w14:textId="77777777" w:rsidR="00520647" w:rsidRPr="00F44715" w:rsidRDefault="00520647" w:rsidP="00E344BC">
      <w:pPr>
        <w:spacing w:after="0" w:line="240" w:lineRule="auto"/>
        <w:jc w:val="both"/>
        <w:rPr>
          <w:rFonts w:ascii="Arial" w:hAnsi="Arial" w:cs="Arial"/>
          <w:sz w:val="10"/>
          <w:szCs w:val="10"/>
          <w:lang w:val="es-MX" w:eastAsia="es-ES" w:bidi="ar-SA"/>
        </w:rPr>
      </w:pPr>
    </w:p>
    <w:p w14:paraId="7B77811A" w14:textId="46973B11" w:rsidR="00E344BC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D223B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Importante</w:t>
      </w:r>
      <w:r>
        <w:rPr>
          <w:rFonts w:ascii="Arial" w:hAnsi="Arial" w:cs="Arial"/>
          <w:sz w:val="20"/>
          <w:szCs w:val="20"/>
          <w:lang w:val="es-MX" w:eastAsia="es-ES" w:bidi="ar-SA"/>
        </w:rPr>
        <w:t>:</w:t>
      </w:r>
    </w:p>
    <w:p w14:paraId="2C3DC5B0" w14:textId="256B3065" w:rsidR="00063DEA" w:rsidRDefault="00063DEA" w:rsidP="00063D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</w:t>
      </w:r>
      <w:r w:rsidR="003A0ACE"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Un máximo de 2 niños entre 2 -12 años que comparten habitación con 2 padres, se les concede el 25% en el paquete turístico y obtendrán una cama supletoria. Dependiendo de la política del hotel, sólo puede haber una cama supletoria para los niños. </w:t>
      </w:r>
    </w:p>
    <w:p w14:paraId="58D5ACF4" w14:textId="77777777" w:rsidR="00063DEA" w:rsidRDefault="00063DEA" w:rsidP="00063D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 1 niño + 1 adulto compartiendo una habitación o 2 niños en una habitación separada no tendrán descuento para niños</w:t>
      </w:r>
    </w:p>
    <w:p w14:paraId="218B5BAA" w14:textId="68BC6109" w:rsidR="00FD4ED5" w:rsidRDefault="00FD4ED5" w:rsidP="00063D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Isla Phi </w:t>
      </w:r>
      <w:proofErr w:type="spellStart"/>
      <w:r>
        <w:rPr>
          <w:rFonts w:ascii="Arial" w:hAnsi="Arial" w:cs="Arial"/>
          <w:sz w:val="20"/>
          <w:szCs w:val="20"/>
          <w:lang w:val="es-MX" w:eastAsia="es-ES"/>
        </w:rPr>
        <w:t>Phi</w:t>
      </w:r>
      <w:proofErr w:type="spellEnd"/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="00502173">
        <w:rPr>
          <w:rFonts w:ascii="Arial" w:hAnsi="Arial" w:cs="Arial"/>
          <w:sz w:val="20"/>
          <w:szCs w:val="20"/>
          <w:lang w:val="es-MX" w:eastAsia="es-ES"/>
        </w:rPr>
        <w:t xml:space="preserve">solo aplica para temporada Abril a </w:t>
      </w:r>
      <w:proofErr w:type="gramStart"/>
      <w:r w:rsidR="00502173">
        <w:rPr>
          <w:rFonts w:ascii="Arial" w:hAnsi="Arial" w:cs="Arial"/>
          <w:sz w:val="20"/>
          <w:szCs w:val="20"/>
          <w:lang w:val="es-MX" w:eastAsia="es-ES"/>
        </w:rPr>
        <w:t>Octubre</w:t>
      </w:r>
      <w:proofErr w:type="gramEnd"/>
      <w:r w:rsidR="00502173">
        <w:rPr>
          <w:rFonts w:ascii="Arial" w:hAnsi="Arial" w:cs="Arial"/>
          <w:sz w:val="20"/>
          <w:szCs w:val="20"/>
          <w:lang w:val="es-MX" w:eastAsia="es-ES"/>
        </w:rPr>
        <w:t xml:space="preserve"> 2024.</w:t>
      </w:r>
    </w:p>
    <w:p w14:paraId="3738D751" w14:textId="48102972" w:rsidR="000A32CC" w:rsidRPr="00660FA9" w:rsidRDefault="000A32CC" w:rsidP="000A32C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Para ir a Islas Phi </w:t>
      </w:r>
      <w:proofErr w:type="spellStart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lo mejor es volar a </w:t>
      </w:r>
      <w:proofErr w:type="spellStart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Phuket</w:t>
      </w:r>
      <w:proofErr w:type="spellEnd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</w:p>
    <w:p w14:paraId="1AA921DC" w14:textId="7FC1BAA7" w:rsidR="000A32CC" w:rsidRPr="00660FA9" w:rsidRDefault="000A32CC" w:rsidP="000A32C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Si se vuela desde </w:t>
      </w:r>
      <w:proofErr w:type="spellStart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Krabi</w:t>
      </w:r>
      <w:proofErr w:type="spellEnd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hacia las islas Phi </w:t>
      </w:r>
      <w:proofErr w:type="spellStart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, se cobrará un suplemento por el traslado de 165 USD netos por persona y trayecto. </w:t>
      </w:r>
    </w:p>
    <w:p w14:paraId="665B5BBC" w14:textId="347A7D09" w:rsidR="00063DEA" w:rsidRPr="00611CB0" w:rsidRDefault="000A32CC" w:rsidP="00611CB0">
      <w:p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>*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Pr="00660FA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Tomar en cuenta los horarios de los barcos para cuando se elige alguna de las playas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</w:p>
    <w:p w14:paraId="49757276" w14:textId="1858F970" w:rsidR="00063DE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PHUKET: </w:t>
      </w:r>
    </w:p>
    <w:p w14:paraId="4223ECC0" w14:textId="77777777" w:rsidR="00A7017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>- Los precios no incluyen el recargo del hotel durante la temporada alta (CONSULTAR suplementos).</w:t>
      </w:r>
    </w:p>
    <w:p w14:paraId="338BB6D2" w14:textId="77777777" w:rsidR="00A7017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>- Cualquier reservación que caiga en la fecha de salida del 30, 31 de diciembre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2024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y 01 de enero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2025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no está permitida. </w:t>
      </w:r>
    </w:p>
    <w:p w14:paraId="4772176C" w14:textId="12A088AC" w:rsidR="00A7017A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>
        <w:rPr>
          <w:rFonts w:ascii="Arial" w:hAnsi="Arial" w:cs="Arial"/>
          <w:sz w:val="20"/>
          <w:szCs w:val="20"/>
          <w:lang w:val="es-MX" w:eastAsia="es-ES"/>
        </w:rPr>
        <w:t>Cenas obligatorias en hoteles (consultar suplementos)</w:t>
      </w:r>
    </w:p>
    <w:p w14:paraId="67445E7E" w14:textId="33A7EDBA" w:rsidR="00A7017A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 w:rsidRPr="00A7017A">
        <w:rPr>
          <w:rFonts w:ascii="Arial" w:hAnsi="Arial" w:cs="Arial"/>
          <w:sz w:val="20"/>
          <w:szCs w:val="20"/>
          <w:lang w:val="es-MX" w:eastAsia="es-ES"/>
        </w:rPr>
        <w:t>Estancia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mínima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>
        <w:rPr>
          <w:rFonts w:ascii="Arial" w:hAnsi="Arial" w:cs="Arial"/>
          <w:sz w:val="20"/>
          <w:szCs w:val="20"/>
          <w:lang w:val="es-MX" w:eastAsia="es-ES"/>
        </w:rPr>
        <w:t>(consultar suplementos)</w:t>
      </w:r>
    </w:p>
    <w:p w14:paraId="6144358D" w14:textId="77777777" w:rsidR="0062258E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KRABI: </w:t>
      </w:r>
    </w:p>
    <w:p w14:paraId="32B1D778" w14:textId="69BF0C35" w:rsidR="00A7017A" w:rsidRPr="0062258E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>-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Los precios no incluyen el recargo del hotel durante la temporada alta (CONSULTAR suplementos).</w:t>
      </w:r>
    </w:p>
    <w:p w14:paraId="099BC794" w14:textId="77777777" w:rsidR="00063DE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lastRenderedPageBreak/>
        <w:t xml:space="preserve">- Cualquier reservación que caiga en la fecha de salida del 30, 31 de diciembre 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2024 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>y 01 de enero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2025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no está permitida. </w:t>
      </w:r>
    </w:p>
    <w:p w14:paraId="36EE3B2C" w14:textId="47FB2A8A" w:rsidR="00A7017A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>
        <w:rPr>
          <w:rFonts w:ascii="Arial" w:hAnsi="Arial" w:cs="Arial"/>
          <w:sz w:val="20"/>
          <w:szCs w:val="20"/>
          <w:lang w:val="es-MX" w:eastAsia="es-ES"/>
        </w:rPr>
        <w:t>Cenas obligatorias en hoteles (consultar suplementos)</w:t>
      </w:r>
    </w:p>
    <w:p w14:paraId="6C60CD31" w14:textId="77777777" w:rsidR="00A7017A" w:rsidRDefault="00A7017A" w:rsidP="00A701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 w:rsidRPr="00A7017A">
        <w:rPr>
          <w:rFonts w:ascii="Arial" w:hAnsi="Arial" w:cs="Arial"/>
          <w:sz w:val="20"/>
          <w:szCs w:val="20"/>
          <w:lang w:val="es-MX" w:eastAsia="es-ES"/>
        </w:rPr>
        <w:t>Estancia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mínima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>
        <w:rPr>
          <w:rFonts w:ascii="Arial" w:hAnsi="Arial" w:cs="Arial"/>
          <w:sz w:val="20"/>
          <w:szCs w:val="20"/>
          <w:lang w:val="es-MX" w:eastAsia="es-ES"/>
        </w:rPr>
        <w:t>(consultar suplementos)</w:t>
      </w:r>
    </w:p>
    <w:p w14:paraId="2C800109" w14:textId="1B32AA2C" w:rsidR="00A7017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hAnsi="Arial" w:cs="Arial"/>
          <w:b/>
          <w:bCs/>
          <w:sz w:val="20"/>
          <w:szCs w:val="20"/>
          <w:lang w:val="es-MX" w:eastAsia="es-ES"/>
        </w:rPr>
        <w:t>KOH</w:t>
      </w:r>
      <w:r w:rsidR="00063DE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SAMUI: </w:t>
      </w:r>
    </w:p>
    <w:p w14:paraId="73AB369D" w14:textId="77777777" w:rsidR="00A7017A" w:rsidRDefault="00A7017A" w:rsidP="00A701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>- Los precios no incluyen el recargo del hotel durante la temporada alta (CONSULTAR suplementos)</w:t>
      </w:r>
    </w:p>
    <w:p w14:paraId="78C53E2F" w14:textId="77777777" w:rsidR="00063DEA" w:rsidRDefault="00A7017A" w:rsidP="00063D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/>
        </w:rPr>
      </w:pP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- Cualquier reservación que caiga en la fecha de salida del 30, 31 de diciembre 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2024 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y 01 de enero </w:t>
      </w:r>
      <w:r>
        <w:rPr>
          <w:rFonts w:ascii="Arial" w:hAnsi="Arial" w:cs="Arial"/>
          <w:b/>
          <w:bCs/>
          <w:sz w:val="20"/>
          <w:szCs w:val="20"/>
          <w:lang w:val="es-MX" w:eastAsia="es-ES"/>
        </w:rPr>
        <w:t>2025</w:t>
      </w:r>
      <w:r w:rsidR="00063DE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 </w:t>
      </w:r>
      <w:r w:rsidRPr="00A7017A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no está permitida. </w:t>
      </w:r>
    </w:p>
    <w:p w14:paraId="41AF78B2" w14:textId="3AE18557" w:rsidR="00063DEA" w:rsidRDefault="00063DEA" w:rsidP="00063D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>
        <w:rPr>
          <w:rFonts w:ascii="Arial" w:hAnsi="Arial" w:cs="Arial"/>
          <w:sz w:val="20"/>
          <w:szCs w:val="20"/>
          <w:lang w:val="es-MX" w:eastAsia="es-ES"/>
        </w:rPr>
        <w:t>Cenas obligatorias en hoteles (consultar suplementos)</w:t>
      </w:r>
    </w:p>
    <w:p w14:paraId="180FF34D" w14:textId="02496E78" w:rsidR="00E518AC" w:rsidRPr="004369E7" w:rsidRDefault="00063DEA" w:rsidP="004369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 xml:space="preserve">- </w:t>
      </w:r>
      <w:r w:rsidRPr="00A7017A">
        <w:rPr>
          <w:rFonts w:ascii="Arial" w:hAnsi="Arial" w:cs="Arial"/>
          <w:sz w:val="20"/>
          <w:szCs w:val="20"/>
          <w:lang w:val="es-MX" w:eastAsia="es-ES"/>
        </w:rPr>
        <w:t>Estancia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mínima</w:t>
      </w:r>
      <w:r>
        <w:rPr>
          <w:rFonts w:ascii="Arial" w:hAnsi="Arial" w:cs="Arial"/>
          <w:sz w:val="20"/>
          <w:szCs w:val="20"/>
          <w:lang w:val="es-MX" w:eastAsia="es-ES"/>
        </w:rPr>
        <w:t>s</w:t>
      </w:r>
      <w:r w:rsidRPr="00A7017A"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>
        <w:rPr>
          <w:rFonts w:ascii="Arial" w:hAnsi="Arial" w:cs="Arial"/>
          <w:sz w:val="20"/>
          <w:szCs w:val="20"/>
          <w:lang w:val="es-MX" w:eastAsia="es-ES"/>
        </w:rPr>
        <w:t>(consultar suplementos)</w:t>
      </w:r>
    </w:p>
    <w:p w14:paraId="05FDA966" w14:textId="77777777" w:rsidR="00E518AC" w:rsidRPr="006033F0" w:rsidRDefault="00E518AC" w:rsidP="00660FA9">
      <w:pPr>
        <w:spacing w:after="0" w:line="240" w:lineRule="auto"/>
        <w:rPr>
          <w:rFonts w:ascii="Arial" w:hAnsi="Arial" w:cs="Arial"/>
          <w:b/>
          <w:bCs/>
          <w:sz w:val="8"/>
          <w:szCs w:val="8"/>
          <w:lang w:val="es-ES" w:eastAsia="es-ES" w:bidi="ar-SA"/>
        </w:rPr>
      </w:pPr>
    </w:p>
    <w:tbl>
      <w:tblPr>
        <w:tblW w:w="70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296"/>
        <w:gridCol w:w="4295"/>
        <w:gridCol w:w="491"/>
      </w:tblGrid>
      <w:tr w:rsidR="0071686F" w:rsidRPr="0071686F" w14:paraId="0A3D1CA2" w14:textId="77777777" w:rsidTr="00441F61">
        <w:trPr>
          <w:trHeight w:val="38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C1E8F" w14:textId="2E4104FC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HOTELES O SIMILARES</w:t>
            </w:r>
          </w:p>
        </w:tc>
      </w:tr>
      <w:tr w:rsidR="00441F61" w:rsidRPr="0071686F" w14:paraId="6B71E2F0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02DAB" w14:textId="0F6901CE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4E985" w14:textId="4A76EF89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F321D" w14:textId="4FD04159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24F1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441F61" w:rsidRPr="0071686F" w14:paraId="13D4BC1C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BF9CA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A83B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CBCD6" w14:textId="0367C05D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HILTON GARDEN INN BANGKOK SILOM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502A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33FD98C0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2B0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8A5B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1AFD5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35200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5B81D8E5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D3EB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B3D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808CA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60F9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1F61" w:rsidRPr="0071686F" w14:paraId="41291E1D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AA162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DFE6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5C90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9C64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50711D1F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0378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F0A1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628C1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DUSIT D2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64CE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6A5862E9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1AF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FE8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B57B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1A735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71686F" w:rsidRPr="0071686F" w14:paraId="71F719B5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7697F" w14:textId="3E4B58C5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OPCION A ELEGIR</w:t>
            </w:r>
          </w:p>
        </w:tc>
      </w:tr>
      <w:tr w:rsidR="00441F61" w:rsidRPr="0071686F" w14:paraId="33FC18CD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2162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901D3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8012D" w14:textId="6B99651D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NOVOTEL KAMALA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1E932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2F52E139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510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6518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D2FD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SAII LAGUNA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1616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1F280087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06A6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D7F5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7C10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SALA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5CA8A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1F61" w:rsidRPr="0071686F" w14:paraId="659D175C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0033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9977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KRABI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4A280" w14:textId="76C90AC9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TUPKAEK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ABC0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0FF21B30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2021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678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09D0F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DUSIT 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6268F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5E894A46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AEB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929A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0726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SOFITEL PHOKEETRA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8F12D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1F61" w:rsidRPr="0071686F" w14:paraId="1B3FAFDF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543E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AF2F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PHI </w:t>
            </w:r>
            <w:proofErr w:type="spellStart"/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PHI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5DAF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PHI </w:t>
            </w:r>
            <w:proofErr w:type="spellStart"/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PHI</w:t>
            </w:r>
            <w:proofErr w:type="spellEnd"/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HOLIDAY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B0AF2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37F73868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BC33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E796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B5776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 xml:space="preserve">SAII PHI </w:t>
            </w:r>
            <w:proofErr w:type="spellStart"/>
            <w:r w:rsidRPr="0071686F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PHI</w:t>
            </w:r>
            <w:proofErr w:type="spellEnd"/>
            <w:r w:rsidRPr="0071686F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 xml:space="preserve"> ISLAND VILLAGE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07E8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398FF2FD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C1A1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FAC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9475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ZEAVOLA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0497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441F61" w:rsidRPr="0071686F" w14:paraId="613A4F5A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9EB0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9AA6C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SAMUI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B949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CHABA CABANA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A79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441F61" w:rsidRPr="0071686F" w14:paraId="2995BA25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2782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6AB6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DA2B5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MELATI BEACH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7C463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PS</w:t>
            </w:r>
          </w:p>
        </w:tc>
      </w:tr>
      <w:tr w:rsidR="00441F61" w:rsidRPr="0071686F" w14:paraId="449C3CA0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EF6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8469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F6DF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SALA CHAWENG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A4A97" w14:textId="77777777" w:rsidR="0071686F" w:rsidRPr="0071686F" w:rsidRDefault="0071686F" w:rsidP="007168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71686F" w:rsidRPr="004B050F" w14:paraId="2FFD1293" w14:textId="77777777" w:rsidTr="00441F61">
        <w:trPr>
          <w:trHeight w:val="249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EAD31" w14:textId="72A712D4" w:rsidR="0071686F" w:rsidRPr="0071686F" w:rsidRDefault="0071686F" w:rsidP="007168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6F189" w14:textId="77777777" w:rsidR="0071686F" w:rsidRPr="0071686F" w:rsidRDefault="0071686F" w:rsidP="007168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716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No aplica habitación Triple en categoría Primera </w:t>
            </w:r>
          </w:p>
        </w:tc>
      </w:tr>
    </w:tbl>
    <w:p w14:paraId="2FA14241" w14:textId="77777777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70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985"/>
      </w:tblGrid>
      <w:tr w:rsidR="0029643A" w:rsidRPr="004B050F" w14:paraId="226D298D" w14:textId="77777777" w:rsidTr="007E5BD7">
        <w:trPr>
          <w:trHeight w:val="224"/>
          <w:tblCellSpacing w:w="0" w:type="dxa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08CFB" w14:textId="77777777" w:rsidR="0029643A" w:rsidRPr="0029643A" w:rsidRDefault="0029643A" w:rsidP="002964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TARIFA EN USD POR PERSONA (MINIMO 2 PERSONAS)</w:t>
            </w:r>
          </w:p>
        </w:tc>
      </w:tr>
      <w:tr w:rsidR="0029643A" w:rsidRPr="0029643A" w14:paraId="3632381B" w14:textId="77777777" w:rsidTr="007E5BD7">
        <w:trPr>
          <w:trHeight w:val="80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FD66F" w14:textId="597AF4F9" w:rsidR="0029643A" w:rsidRPr="0029643A" w:rsidRDefault="0029643A" w:rsidP="002964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SERVICIOS TERRESTRES EXCLUSIVAMENTE</w:t>
            </w:r>
          </w:p>
        </w:tc>
      </w:tr>
      <w:tr w:rsidR="0029643A" w:rsidRPr="0029643A" w14:paraId="56F969EC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F227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ABRIL 2024 - OCTUBRE 2024</w:t>
            </w:r>
          </w:p>
        </w:tc>
      </w:tr>
      <w:tr w:rsidR="009D17D4" w:rsidRPr="0029643A" w14:paraId="18E110A6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15BE6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PHUKET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F663C" w14:textId="77777777" w:rsidR="0029643A" w:rsidRPr="0029643A" w:rsidRDefault="0029643A" w:rsidP="002964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20A46" w14:textId="77777777" w:rsidR="0029643A" w:rsidRPr="0029643A" w:rsidRDefault="0029643A" w:rsidP="002964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4B710E28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87564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C42F0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1990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0C136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2750</w:t>
            </w:r>
          </w:p>
        </w:tc>
      </w:tr>
      <w:tr w:rsidR="009D17D4" w:rsidRPr="0029643A" w14:paraId="1B0ED1BE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8F0B1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6A02C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2330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BAB12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3450</w:t>
            </w:r>
          </w:p>
        </w:tc>
      </w:tr>
      <w:tr w:rsidR="009D17D4" w:rsidRPr="0029643A" w14:paraId="17DD4D05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137C6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560E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2700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42E3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4230</w:t>
            </w:r>
          </w:p>
        </w:tc>
      </w:tr>
      <w:tr w:rsidR="009D17D4" w:rsidRPr="0029643A" w14:paraId="2B72A9D8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08146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KRABI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C26B6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5C425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7239D57A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A8B5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FD06A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2070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B1D2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2770</w:t>
            </w:r>
          </w:p>
        </w:tc>
      </w:tr>
      <w:tr w:rsidR="009D17D4" w:rsidRPr="0029643A" w14:paraId="39CEC23C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F9CA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8E1A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2300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64FC3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3405</w:t>
            </w:r>
          </w:p>
        </w:tc>
      </w:tr>
      <w:tr w:rsidR="009D17D4" w:rsidRPr="0029643A" w14:paraId="2F8600EE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E3BD5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lastRenderedPageBreak/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A3185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2520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A9EA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3850</w:t>
            </w:r>
          </w:p>
        </w:tc>
      </w:tr>
      <w:tr w:rsidR="009D17D4" w:rsidRPr="0029643A" w14:paraId="6CBDB5E6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E792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OPCIÓN ISLA PHI </w:t>
            </w:r>
            <w:proofErr w:type="spellStart"/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PHI</w:t>
            </w:r>
            <w:proofErr w:type="spellEnd"/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A114C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68BC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788216C3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8198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79239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2480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19A8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3480</w:t>
            </w:r>
          </w:p>
        </w:tc>
      </w:tr>
      <w:tr w:rsidR="009D17D4" w:rsidRPr="0029643A" w14:paraId="2A400937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0425C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E7F4A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2860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618BE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4190</w:t>
            </w:r>
          </w:p>
        </w:tc>
      </w:tr>
      <w:tr w:rsidR="009D17D4" w:rsidRPr="0029643A" w14:paraId="534C75E0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E54CD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823C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3040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23588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4550</w:t>
            </w:r>
          </w:p>
        </w:tc>
      </w:tr>
      <w:tr w:rsidR="009D17D4" w:rsidRPr="0029643A" w14:paraId="43BB94C4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2F98D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ISLA SAMUI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C74A3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33F98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1CA163A3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7086F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B4D02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2130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638E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2920</w:t>
            </w:r>
          </w:p>
        </w:tc>
      </w:tr>
      <w:tr w:rsidR="009D17D4" w:rsidRPr="0029643A" w14:paraId="47ADC070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831C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A05F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2650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3C5F3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3950</w:t>
            </w:r>
          </w:p>
        </w:tc>
      </w:tr>
      <w:tr w:rsidR="009D17D4" w:rsidRPr="0029643A" w14:paraId="73590C37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C554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FDD9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3290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55D4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5250</w:t>
            </w:r>
          </w:p>
        </w:tc>
      </w:tr>
      <w:tr w:rsidR="0029643A" w:rsidRPr="00B070EB" w14:paraId="5A785DD2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6917E" w14:textId="77777777" w:rsidR="0029643A" w:rsidRPr="0029643A" w:rsidRDefault="0029643A" w:rsidP="00B931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01 NOV AL 10 NOV 2024 / 18 NOV AL 19 DIC 2024 / 11 FEB AL 31 MAR 2025</w:t>
            </w:r>
          </w:p>
        </w:tc>
      </w:tr>
      <w:tr w:rsidR="009D17D4" w:rsidRPr="0029643A" w14:paraId="4E5FBCBD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43354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PHUKET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208E3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BD17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195CC447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877D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9B95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4040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7F05C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5180</w:t>
            </w:r>
          </w:p>
        </w:tc>
      </w:tr>
      <w:tr w:rsidR="009D17D4" w:rsidRPr="0029643A" w14:paraId="52547B99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29CE1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9295A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4505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40B5C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6110</w:t>
            </w:r>
          </w:p>
        </w:tc>
      </w:tr>
      <w:tr w:rsidR="009D17D4" w:rsidRPr="0029643A" w14:paraId="3A63A1FF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678BF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2FAE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4805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01648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6705</w:t>
            </w:r>
          </w:p>
        </w:tc>
      </w:tr>
      <w:tr w:rsidR="009D17D4" w:rsidRPr="0029643A" w14:paraId="093928E3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A8550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KRABI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9011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B9D95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6A0CADAA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23214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80A26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4040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A2866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5120</w:t>
            </w:r>
          </w:p>
        </w:tc>
      </w:tr>
      <w:tr w:rsidR="009D17D4" w:rsidRPr="0029643A" w14:paraId="09CD1750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F4015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A19A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4285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61193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5610</w:t>
            </w:r>
          </w:p>
        </w:tc>
      </w:tr>
      <w:tr w:rsidR="009D17D4" w:rsidRPr="0029643A" w14:paraId="7A3DACF6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4028D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28E52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4565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ADB58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6165</w:t>
            </w:r>
          </w:p>
        </w:tc>
      </w:tr>
      <w:tr w:rsidR="009D17D4" w:rsidRPr="0029643A" w14:paraId="03C210D9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14C16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ISLA SAMUI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09F1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3160E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10AC0E96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D0EC0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BC53F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4130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AF88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5110</w:t>
            </w:r>
          </w:p>
        </w:tc>
      </w:tr>
      <w:tr w:rsidR="009D17D4" w:rsidRPr="0029643A" w14:paraId="39565446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839EE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32419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4685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C953E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5965</w:t>
            </w:r>
          </w:p>
        </w:tc>
      </w:tr>
      <w:tr w:rsidR="009D17D4" w:rsidRPr="0029643A" w14:paraId="5ED2C50D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BD8B9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5FC22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5570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696C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7730</w:t>
            </w:r>
          </w:p>
        </w:tc>
      </w:tr>
      <w:tr w:rsidR="0029643A" w:rsidRPr="00B070EB" w14:paraId="30137CCF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E7AA2" w14:textId="77777777" w:rsidR="0029643A" w:rsidRPr="0029643A" w:rsidRDefault="0029643A" w:rsidP="00B931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11 NOV AL 17 NOV 2024 - 20 DIC AL 10 FEB 2025</w:t>
            </w:r>
          </w:p>
        </w:tc>
      </w:tr>
      <w:tr w:rsidR="009D17D4" w:rsidRPr="0029643A" w14:paraId="78CBBB03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D08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PHUKET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71E17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A0C6F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28D7D657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2673D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F6075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4385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4456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5805</w:t>
            </w:r>
          </w:p>
        </w:tc>
      </w:tr>
      <w:tr w:rsidR="009D17D4" w:rsidRPr="0029643A" w14:paraId="17299783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6917B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81FA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5230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25EBF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7500</w:t>
            </w:r>
          </w:p>
        </w:tc>
      </w:tr>
      <w:tr w:rsidR="009D17D4" w:rsidRPr="0029643A" w14:paraId="11E8FC0C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3310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1C8A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6165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62D8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9425</w:t>
            </w:r>
          </w:p>
        </w:tc>
      </w:tr>
      <w:tr w:rsidR="009D17D4" w:rsidRPr="0029643A" w14:paraId="315A62BA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A0A56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KRABI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B650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9015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53866D3D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A3F07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0D7FF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4450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B0D3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5690</w:t>
            </w:r>
          </w:p>
        </w:tc>
      </w:tr>
      <w:tr w:rsidR="009D17D4" w:rsidRPr="0029643A" w14:paraId="59AB36BF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9A5D5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BD310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5950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D023A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7920</w:t>
            </w:r>
          </w:p>
        </w:tc>
      </w:tr>
      <w:tr w:rsidR="009D17D4" w:rsidRPr="0029643A" w14:paraId="42C24F2E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028C3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87F7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6040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F65D4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8680</w:t>
            </w:r>
          </w:p>
        </w:tc>
      </w:tr>
      <w:tr w:rsidR="009D17D4" w:rsidRPr="0029643A" w14:paraId="04510B2C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47765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OPCIÓN ISLA SAMUI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535CF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DBL/TPL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E110D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9D17D4" w:rsidRPr="0029643A" w14:paraId="4A7EB0F9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5C98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B033E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4330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83B1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5510</w:t>
            </w:r>
          </w:p>
        </w:tc>
      </w:tr>
      <w:tr w:rsidR="009D17D4" w:rsidRPr="0029643A" w14:paraId="07E02A7B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82A54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PRIMERA 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CCB9B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5870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BD325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7710</w:t>
            </w:r>
          </w:p>
        </w:tc>
      </w:tr>
      <w:tr w:rsidR="009D17D4" w:rsidRPr="0029643A" w14:paraId="15FAF798" w14:textId="77777777" w:rsidTr="009D17D4">
        <w:trPr>
          <w:trHeight w:val="286"/>
          <w:tblCellSpacing w:w="0" w:type="dxa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A63DC" w14:textId="77777777" w:rsidR="0029643A" w:rsidRPr="0029643A" w:rsidRDefault="0029643A" w:rsidP="002964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SUPERIOR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CB16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10960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CCE81" w14:textId="77777777" w:rsidR="0029643A" w:rsidRPr="0029643A" w:rsidRDefault="0029643A" w:rsidP="00B931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16420</w:t>
            </w:r>
          </w:p>
        </w:tc>
      </w:tr>
      <w:tr w:rsidR="0029643A" w:rsidRPr="00B070EB" w14:paraId="0E8DBF57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35B1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PRECIOS SUJETOS A DISPONIBILIDAD Y A CAMBIOS SIN PREVIO AVISO.</w:t>
            </w:r>
          </w:p>
        </w:tc>
      </w:tr>
      <w:tr w:rsidR="0029643A" w:rsidRPr="00B070EB" w14:paraId="59B45813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21FA1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TARIFAS NO APLICAN PARA NAVIDAD, FIN DE AÑO, SEMANA SANTA,</w:t>
            </w:r>
          </w:p>
        </w:tc>
      </w:tr>
      <w:tr w:rsidR="0029643A" w:rsidRPr="00B070EB" w14:paraId="037D62CC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3C304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CONGRESOS O EVENTOS ESPECIALES. CONSULTAR SUPLEMENTO.</w:t>
            </w:r>
          </w:p>
        </w:tc>
      </w:tr>
      <w:tr w:rsidR="0029643A" w:rsidRPr="0029643A" w14:paraId="53F942BF" w14:textId="77777777" w:rsidTr="009D17D4">
        <w:trPr>
          <w:trHeight w:val="286"/>
          <w:tblCellSpacing w:w="0" w:type="dxa"/>
          <w:jc w:val="center"/>
        </w:trPr>
        <w:tc>
          <w:tcPr>
            <w:tcW w:w="7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3E6C6" w14:textId="77777777" w:rsidR="0029643A" w:rsidRPr="0029643A" w:rsidRDefault="0029643A" w:rsidP="009D17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29643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VIGENCIA HASTA MARZO 2025</w:t>
            </w:r>
          </w:p>
        </w:tc>
      </w:tr>
    </w:tbl>
    <w:p w14:paraId="6D8E80E2" w14:textId="0CB99E47" w:rsidR="00CD61E4" w:rsidRPr="00660FA9" w:rsidRDefault="00CD61E4" w:rsidP="00F4471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sectPr w:rsidR="00CD61E4" w:rsidRPr="00660FA9" w:rsidSect="00880574">
      <w:headerReference w:type="default" r:id="rId9"/>
      <w:footerReference w:type="default" r:id="rId10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8A4F" w14:textId="77777777" w:rsidR="00054047" w:rsidRDefault="00054047" w:rsidP="00450C15">
      <w:pPr>
        <w:spacing w:after="0" w:line="240" w:lineRule="auto"/>
      </w:pPr>
      <w:r>
        <w:separator/>
      </w:r>
    </w:p>
  </w:endnote>
  <w:endnote w:type="continuationSeparator" w:id="0">
    <w:p w14:paraId="7FC27B0F" w14:textId="77777777" w:rsidR="00054047" w:rsidRDefault="0005404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1571" w14:textId="77777777" w:rsidR="00C55C28" w:rsidRDefault="00880574" w:rsidP="00C55C28">
    <w:pPr>
      <w:pStyle w:val="Footer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01CC5A" wp14:editId="02093BF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B31E" w14:textId="77777777" w:rsidR="00054047" w:rsidRDefault="00054047" w:rsidP="00450C15">
      <w:pPr>
        <w:spacing w:after="0" w:line="240" w:lineRule="auto"/>
      </w:pPr>
      <w:r>
        <w:separator/>
      </w:r>
    </w:p>
  </w:footnote>
  <w:footnote w:type="continuationSeparator" w:id="0">
    <w:p w14:paraId="606E353E" w14:textId="77777777" w:rsidR="00054047" w:rsidRDefault="0005404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60B9" w14:textId="77777777" w:rsidR="00A61A42" w:rsidRPr="00A61A42" w:rsidRDefault="00880574" w:rsidP="00C126A9">
    <w:pPr>
      <w:pStyle w:val="Header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11CD9B00" wp14:editId="17C01CD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1FA678" wp14:editId="19422A2E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F2197" w14:textId="77777777" w:rsidR="00880574" w:rsidRPr="00880574" w:rsidRDefault="00880574" w:rsidP="00020E3A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A0017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ÚNICA</w:t>
                          </w:r>
                        </w:p>
                        <w:p w14:paraId="33BE83AB" w14:textId="76063E77" w:rsidR="007F10A1" w:rsidRPr="00560EAF" w:rsidRDefault="00DB57BD" w:rsidP="00020E3A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A0017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7B62D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36251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9157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FA6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374F2197" w14:textId="77777777" w:rsidR="00880574" w:rsidRPr="00880574" w:rsidRDefault="00880574" w:rsidP="00020E3A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A0017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ÚNICA</w:t>
                    </w:r>
                  </w:p>
                  <w:p w14:paraId="33BE83AB" w14:textId="76063E77" w:rsidR="007F10A1" w:rsidRPr="00560EAF" w:rsidRDefault="00DB57BD" w:rsidP="00020E3A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A0017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7B62D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36251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9157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58DF5C" wp14:editId="5E7D8C2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77D705" wp14:editId="3D809C8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32009"/>
    <w:rsid w:val="0003271D"/>
    <w:rsid w:val="00045622"/>
    <w:rsid w:val="00054047"/>
    <w:rsid w:val="000555A2"/>
    <w:rsid w:val="0006120B"/>
    <w:rsid w:val="00063DEA"/>
    <w:rsid w:val="000654E5"/>
    <w:rsid w:val="00074095"/>
    <w:rsid w:val="000901BB"/>
    <w:rsid w:val="00093D58"/>
    <w:rsid w:val="00097F7F"/>
    <w:rsid w:val="000A32CC"/>
    <w:rsid w:val="000A64E6"/>
    <w:rsid w:val="000C1D98"/>
    <w:rsid w:val="000F116C"/>
    <w:rsid w:val="000F6819"/>
    <w:rsid w:val="001056F5"/>
    <w:rsid w:val="001147C5"/>
    <w:rsid w:val="00115DF1"/>
    <w:rsid w:val="00124C0C"/>
    <w:rsid w:val="00131808"/>
    <w:rsid w:val="00135363"/>
    <w:rsid w:val="00154DAF"/>
    <w:rsid w:val="00156E7E"/>
    <w:rsid w:val="001910FB"/>
    <w:rsid w:val="001A6CE4"/>
    <w:rsid w:val="001B2A1E"/>
    <w:rsid w:val="001D3EA5"/>
    <w:rsid w:val="001D40B4"/>
    <w:rsid w:val="001D59AE"/>
    <w:rsid w:val="001E0BFB"/>
    <w:rsid w:val="001E49A4"/>
    <w:rsid w:val="001F4B4E"/>
    <w:rsid w:val="001F5E17"/>
    <w:rsid w:val="00202F40"/>
    <w:rsid w:val="002031BF"/>
    <w:rsid w:val="00251C09"/>
    <w:rsid w:val="00264C19"/>
    <w:rsid w:val="00294875"/>
    <w:rsid w:val="002959E3"/>
    <w:rsid w:val="0029643A"/>
    <w:rsid w:val="002A6F1A"/>
    <w:rsid w:val="002D6CA5"/>
    <w:rsid w:val="002E1CEA"/>
    <w:rsid w:val="002E66ED"/>
    <w:rsid w:val="002F25DA"/>
    <w:rsid w:val="00307393"/>
    <w:rsid w:val="003370E9"/>
    <w:rsid w:val="0036251E"/>
    <w:rsid w:val="003805A5"/>
    <w:rsid w:val="00384A26"/>
    <w:rsid w:val="00392593"/>
    <w:rsid w:val="00392B33"/>
    <w:rsid w:val="003A0ACE"/>
    <w:rsid w:val="003A19DA"/>
    <w:rsid w:val="003B3627"/>
    <w:rsid w:val="003B37AE"/>
    <w:rsid w:val="003D0B3A"/>
    <w:rsid w:val="003D36D2"/>
    <w:rsid w:val="00407A99"/>
    <w:rsid w:val="00413977"/>
    <w:rsid w:val="004148EC"/>
    <w:rsid w:val="0041595F"/>
    <w:rsid w:val="004176CA"/>
    <w:rsid w:val="00425EF6"/>
    <w:rsid w:val="00432BA1"/>
    <w:rsid w:val="004369E7"/>
    <w:rsid w:val="00441F61"/>
    <w:rsid w:val="00445117"/>
    <w:rsid w:val="00450C15"/>
    <w:rsid w:val="00451014"/>
    <w:rsid w:val="004519E9"/>
    <w:rsid w:val="00454042"/>
    <w:rsid w:val="0047057D"/>
    <w:rsid w:val="0049189E"/>
    <w:rsid w:val="004A68D9"/>
    <w:rsid w:val="004B050F"/>
    <w:rsid w:val="004B372F"/>
    <w:rsid w:val="004C01F5"/>
    <w:rsid w:val="004D2C2F"/>
    <w:rsid w:val="004E0D03"/>
    <w:rsid w:val="00502173"/>
    <w:rsid w:val="0050259E"/>
    <w:rsid w:val="005130A5"/>
    <w:rsid w:val="00513C9F"/>
    <w:rsid w:val="00520647"/>
    <w:rsid w:val="0054028D"/>
    <w:rsid w:val="00560EAF"/>
    <w:rsid w:val="00564D1B"/>
    <w:rsid w:val="005858A3"/>
    <w:rsid w:val="00585EC6"/>
    <w:rsid w:val="005938E2"/>
    <w:rsid w:val="005A5C87"/>
    <w:rsid w:val="005B0F31"/>
    <w:rsid w:val="005E3402"/>
    <w:rsid w:val="005F4C83"/>
    <w:rsid w:val="006033F0"/>
    <w:rsid w:val="006053CD"/>
    <w:rsid w:val="00606FDD"/>
    <w:rsid w:val="00611CB0"/>
    <w:rsid w:val="006154BF"/>
    <w:rsid w:val="00615736"/>
    <w:rsid w:val="006166D8"/>
    <w:rsid w:val="0062258E"/>
    <w:rsid w:val="00630B01"/>
    <w:rsid w:val="006517DF"/>
    <w:rsid w:val="006563FC"/>
    <w:rsid w:val="00660FA9"/>
    <w:rsid w:val="0068390A"/>
    <w:rsid w:val="00685D85"/>
    <w:rsid w:val="006971B8"/>
    <w:rsid w:val="006A4CF9"/>
    <w:rsid w:val="006B115D"/>
    <w:rsid w:val="006B1779"/>
    <w:rsid w:val="006B19F7"/>
    <w:rsid w:val="006C1BF7"/>
    <w:rsid w:val="006C568C"/>
    <w:rsid w:val="006D3C96"/>
    <w:rsid w:val="006D64BE"/>
    <w:rsid w:val="006E0F61"/>
    <w:rsid w:val="00704FC6"/>
    <w:rsid w:val="00713356"/>
    <w:rsid w:val="0071686F"/>
    <w:rsid w:val="00727503"/>
    <w:rsid w:val="00751EF3"/>
    <w:rsid w:val="00772975"/>
    <w:rsid w:val="00787735"/>
    <w:rsid w:val="00792A3C"/>
    <w:rsid w:val="00793541"/>
    <w:rsid w:val="007B4221"/>
    <w:rsid w:val="007B5502"/>
    <w:rsid w:val="007B62D3"/>
    <w:rsid w:val="007C08B9"/>
    <w:rsid w:val="007C24BB"/>
    <w:rsid w:val="007D1389"/>
    <w:rsid w:val="007D3DF5"/>
    <w:rsid w:val="007E5BD7"/>
    <w:rsid w:val="007F10A1"/>
    <w:rsid w:val="007F5F21"/>
    <w:rsid w:val="008019A4"/>
    <w:rsid w:val="00803699"/>
    <w:rsid w:val="00810EBC"/>
    <w:rsid w:val="00826BC4"/>
    <w:rsid w:val="00833D81"/>
    <w:rsid w:val="00842CC8"/>
    <w:rsid w:val="00865390"/>
    <w:rsid w:val="00867997"/>
    <w:rsid w:val="00880574"/>
    <w:rsid w:val="008873BB"/>
    <w:rsid w:val="00891A2A"/>
    <w:rsid w:val="00894F82"/>
    <w:rsid w:val="008A475B"/>
    <w:rsid w:val="008B406F"/>
    <w:rsid w:val="008B66F3"/>
    <w:rsid w:val="008B7201"/>
    <w:rsid w:val="008F0CE2"/>
    <w:rsid w:val="00902CE2"/>
    <w:rsid w:val="00903712"/>
    <w:rsid w:val="0091022A"/>
    <w:rsid w:val="009157A7"/>
    <w:rsid w:val="00936D2B"/>
    <w:rsid w:val="00954749"/>
    <w:rsid w:val="0096145D"/>
    <w:rsid w:val="00992860"/>
    <w:rsid w:val="009A0EE3"/>
    <w:rsid w:val="009A4A2A"/>
    <w:rsid w:val="009B5D60"/>
    <w:rsid w:val="009C0D85"/>
    <w:rsid w:val="009C1D14"/>
    <w:rsid w:val="009C3370"/>
    <w:rsid w:val="009C7D24"/>
    <w:rsid w:val="009D17D4"/>
    <w:rsid w:val="009E31CB"/>
    <w:rsid w:val="009E351B"/>
    <w:rsid w:val="009F1249"/>
    <w:rsid w:val="00A00179"/>
    <w:rsid w:val="00A06C62"/>
    <w:rsid w:val="00A25CD2"/>
    <w:rsid w:val="00A261C5"/>
    <w:rsid w:val="00A316F2"/>
    <w:rsid w:val="00A4177E"/>
    <w:rsid w:val="00A4233B"/>
    <w:rsid w:val="00A5592F"/>
    <w:rsid w:val="00A61A42"/>
    <w:rsid w:val="00A7017A"/>
    <w:rsid w:val="00A8172E"/>
    <w:rsid w:val="00A827F0"/>
    <w:rsid w:val="00A922E3"/>
    <w:rsid w:val="00A92A5A"/>
    <w:rsid w:val="00A95C24"/>
    <w:rsid w:val="00AE3E65"/>
    <w:rsid w:val="00B0056D"/>
    <w:rsid w:val="00B070EB"/>
    <w:rsid w:val="00B07CCB"/>
    <w:rsid w:val="00B322D6"/>
    <w:rsid w:val="00B36A64"/>
    <w:rsid w:val="00B37339"/>
    <w:rsid w:val="00B47862"/>
    <w:rsid w:val="00B4786E"/>
    <w:rsid w:val="00B718DC"/>
    <w:rsid w:val="00B770D6"/>
    <w:rsid w:val="00B9317F"/>
    <w:rsid w:val="00BA697C"/>
    <w:rsid w:val="00BA788D"/>
    <w:rsid w:val="00BC6358"/>
    <w:rsid w:val="00BF0271"/>
    <w:rsid w:val="00BF6944"/>
    <w:rsid w:val="00C05356"/>
    <w:rsid w:val="00C0682D"/>
    <w:rsid w:val="00C10C87"/>
    <w:rsid w:val="00C12435"/>
    <w:rsid w:val="00C126A9"/>
    <w:rsid w:val="00C15622"/>
    <w:rsid w:val="00C17B91"/>
    <w:rsid w:val="00C2273B"/>
    <w:rsid w:val="00C32B63"/>
    <w:rsid w:val="00C36F5D"/>
    <w:rsid w:val="00C450C5"/>
    <w:rsid w:val="00C50ABF"/>
    <w:rsid w:val="00C55C28"/>
    <w:rsid w:val="00C60443"/>
    <w:rsid w:val="00C632D6"/>
    <w:rsid w:val="00C70110"/>
    <w:rsid w:val="00C96119"/>
    <w:rsid w:val="00CC18B7"/>
    <w:rsid w:val="00CD61E4"/>
    <w:rsid w:val="00CD64A8"/>
    <w:rsid w:val="00CE30C0"/>
    <w:rsid w:val="00CE6494"/>
    <w:rsid w:val="00CE7934"/>
    <w:rsid w:val="00D03099"/>
    <w:rsid w:val="00D11CED"/>
    <w:rsid w:val="00D14153"/>
    <w:rsid w:val="00D223B9"/>
    <w:rsid w:val="00D25636"/>
    <w:rsid w:val="00D7315D"/>
    <w:rsid w:val="00D732E0"/>
    <w:rsid w:val="00D77429"/>
    <w:rsid w:val="00DA2E1D"/>
    <w:rsid w:val="00DA3A8C"/>
    <w:rsid w:val="00DA68AD"/>
    <w:rsid w:val="00DB4052"/>
    <w:rsid w:val="00DB57BD"/>
    <w:rsid w:val="00DB5848"/>
    <w:rsid w:val="00DD6A94"/>
    <w:rsid w:val="00DE01EC"/>
    <w:rsid w:val="00DE362B"/>
    <w:rsid w:val="00DF15D6"/>
    <w:rsid w:val="00E344BC"/>
    <w:rsid w:val="00E518AC"/>
    <w:rsid w:val="00E663D4"/>
    <w:rsid w:val="00E722DA"/>
    <w:rsid w:val="00E846AA"/>
    <w:rsid w:val="00E90922"/>
    <w:rsid w:val="00E90FAD"/>
    <w:rsid w:val="00EA17D1"/>
    <w:rsid w:val="00EB4826"/>
    <w:rsid w:val="00EC2611"/>
    <w:rsid w:val="00EC4D85"/>
    <w:rsid w:val="00EC70A1"/>
    <w:rsid w:val="00EC7C37"/>
    <w:rsid w:val="00EC7F50"/>
    <w:rsid w:val="00ED2EE5"/>
    <w:rsid w:val="00EE0CF8"/>
    <w:rsid w:val="00EE3B84"/>
    <w:rsid w:val="00EF1854"/>
    <w:rsid w:val="00EF313D"/>
    <w:rsid w:val="00F04C6C"/>
    <w:rsid w:val="00F11662"/>
    <w:rsid w:val="00F26C4A"/>
    <w:rsid w:val="00F4189C"/>
    <w:rsid w:val="00F427BB"/>
    <w:rsid w:val="00F42FED"/>
    <w:rsid w:val="00F44715"/>
    <w:rsid w:val="00F511D3"/>
    <w:rsid w:val="00F523E9"/>
    <w:rsid w:val="00F64060"/>
    <w:rsid w:val="00F71B08"/>
    <w:rsid w:val="00F76F66"/>
    <w:rsid w:val="00F86DB0"/>
    <w:rsid w:val="00F96F4D"/>
    <w:rsid w:val="00FD4ED5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9B01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C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ListParagraph">
    <w:name w:val="List Paragraph"/>
    <w:basedOn w:val="Normal"/>
    <w:qFormat/>
    <w:rsid w:val="00CE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15"/>
  </w:style>
  <w:style w:type="paragraph" w:styleId="Footer">
    <w:name w:val="footer"/>
    <w:basedOn w:val="Normal"/>
    <w:link w:val="Foot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15"/>
  </w:style>
  <w:style w:type="paragraph" w:styleId="NoSpacing">
    <w:name w:val="No Spacing"/>
    <w:basedOn w:val="Normal"/>
    <w:link w:val="NoSpacingChar"/>
    <w:uiPriority w:val="99"/>
    <w:qFormat/>
    <w:rsid w:val="00156E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C7C37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Strong">
    <w:name w:val="Strong"/>
    <w:basedOn w:val="DefaultParagraphFont"/>
    <w:uiPriority w:val="22"/>
    <w:qFormat/>
    <w:rsid w:val="00EC7C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1311</Words>
  <Characters>7211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Sergio Pérez Barenas</cp:lastModifiedBy>
  <cp:revision>40</cp:revision>
  <dcterms:created xsi:type="dcterms:W3CDTF">2024-05-23T22:59:00Z</dcterms:created>
  <dcterms:modified xsi:type="dcterms:W3CDTF">2024-12-07T06:07:00Z</dcterms:modified>
</cp:coreProperties>
</file>