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0B2D" w14:textId="5499E64E" w:rsidR="00417885" w:rsidRPr="00933BFE" w:rsidRDefault="00A45A3E" w:rsidP="00A45A3E">
      <w:pPr>
        <w:jc w:val="center"/>
        <w:rPr>
          <w:rFonts w:ascii="Arial" w:hAnsi="Arial" w:cs="Arial"/>
          <w:b/>
          <w:sz w:val="24"/>
          <w:lang w:val="es-MX"/>
        </w:rPr>
      </w:pPr>
      <w:r w:rsidRPr="00933BFE">
        <w:rPr>
          <w:rFonts w:ascii="Arial" w:eastAsiaTheme="minorHAnsi" w:hAnsi="Arial" w:cs="Arial"/>
          <w:b/>
          <w:bCs/>
          <w:sz w:val="20"/>
          <w:szCs w:val="16"/>
          <w:lang w:val="es-MX" w:bidi="ar-SA"/>
        </w:rPr>
        <w:t>Casablanca, Rabat, Tánger, Xaouen, Meknes, Fez, Ifrán, Beni Mellal, Marrakech</w:t>
      </w:r>
    </w:p>
    <w:p w14:paraId="70F15834" w14:textId="77777777" w:rsidR="00A45A3E" w:rsidRDefault="00A45A3E" w:rsidP="00002744">
      <w:pPr>
        <w:rPr>
          <w:rFonts w:ascii="Arial" w:hAnsi="Arial" w:cs="Arial"/>
          <w:b/>
          <w:sz w:val="20"/>
          <w:lang w:val="es-MX"/>
        </w:rPr>
      </w:pPr>
    </w:p>
    <w:p w14:paraId="131EDD1D" w14:textId="41BBFBE6" w:rsidR="00002744" w:rsidRPr="00435343" w:rsidRDefault="00362510" w:rsidP="00002744">
      <w:pPr>
        <w:rPr>
          <w:rFonts w:ascii="Arial" w:hAnsi="Arial" w:cs="Arial"/>
          <w:b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435E2" wp14:editId="4754C1FD">
            <wp:simplePos x="0" y="0"/>
            <wp:positionH relativeFrom="column">
              <wp:posOffset>4499610</wp:posOffset>
            </wp:positionH>
            <wp:positionV relativeFrom="paragraph">
              <wp:posOffset>6350</wp:posOffset>
            </wp:positionV>
            <wp:extent cx="1543050" cy="352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44" w:rsidRPr="00435343">
        <w:rPr>
          <w:rFonts w:ascii="Arial" w:hAnsi="Arial" w:cs="Arial"/>
          <w:b/>
          <w:sz w:val="20"/>
          <w:lang w:val="es-MX"/>
        </w:rPr>
        <w:t xml:space="preserve">Duración: </w:t>
      </w:r>
      <w:r w:rsidR="00417885">
        <w:rPr>
          <w:rFonts w:ascii="Arial" w:hAnsi="Arial" w:cs="Arial"/>
          <w:b/>
          <w:sz w:val="20"/>
          <w:lang w:val="es-MX"/>
        </w:rPr>
        <w:t>8</w:t>
      </w:r>
      <w:r w:rsidR="00002744" w:rsidRPr="00435343">
        <w:rPr>
          <w:rFonts w:ascii="Arial" w:hAnsi="Arial" w:cs="Arial"/>
          <w:b/>
          <w:sz w:val="20"/>
          <w:lang w:val="es-MX"/>
        </w:rPr>
        <w:t xml:space="preserve"> días</w:t>
      </w:r>
      <w:r>
        <w:rPr>
          <w:rFonts w:ascii="Arial" w:hAnsi="Arial" w:cs="Arial"/>
          <w:b/>
          <w:sz w:val="20"/>
          <w:lang w:val="es-MX"/>
        </w:rPr>
        <w:t xml:space="preserve"> </w:t>
      </w:r>
    </w:p>
    <w:p w14:paraId="32CA0A9B" w14:textId="77777777" w:rsidR="004936E6" w:rsidRDefault="00E72143" w:rsidP="00002744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Llegada</w:t>
      </w:r>
      <w:r w:rsidR="00002744" w:rsidRPr="00435343">
        <w:rPr>
          <w:rFonts w:ascii="Arial" w:hAnsi="Arial" w:cs="Arial"/>
          <w:b/>
          <w:sz w:val="20"/>
          <w:lang w:val="es-MX"/>
        </w:rPr>
        <w:t xml:space="preserve">: </w:t>
      </w:r>
      <w:r w:rsidR="00B40B2D">
        <w:rPr>
          <w:rFonts w:ascii="Arial" w:hAnsi="Arial" w:cs="Arial"/>
          <w:b/>
          <w:sz w:val="20"/>
          <w:lang w:val="es-MX"/>
        </w:rPr>
        <w:t>sábado</w:t>
      </w:r>
      <w:r w:rsidR="006D77A3">
        <w:rPr>
          <w:rFonts w:ascii="Arial" w:hAnsi="Arial" w:cs="Arial"/>
          <w:b/>
          <w:sz w:val="20"/>
          <w:lang w:val="es-MX"/>
        </w:rPr>
        <w:t xml:space="preserve"> </w:t>
      </w:r>
      <w:r w:rsidR="004936E6">
        <w:rPr>
          <w:rFonts w:ascii="Arial" w:hAnsi="Arial" w:cs="Arial"/>
          <w:b/>
          <w:sz w:val="20"/>
          <w:lang w:val="es-MX"/>
        </w:rPr>
        <w:t>de mayo 2024 a abril 2025</w:t>
      </w:r>
    </w:p>
    <w:p w14:paraId="708C7EBB" w14:textId="77777777" w:rsidR="004936E6" w:rsidRDefault="004936E6" w:rsidP="00002744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Servicios compartidos</w:t>
      </w:r>
    </w:p>
    <w:p w14:paraId="221557C9" w14:textId="2DEFA821" w:rsidR="00002744" w:rsidRPr="004F1CF6" w:rsidRDefault="004936E6" w:rsidP="00002744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Mínimo 2 personas</w:t>
      </w:r>
      <w:r w:rsidR="00362510" w:rsidRPr="0056689C">
        <w:rPr>
          <w:lang w:val="es-MX"/>
        </w:rPr>
        <w:t xml:space="preserve"> </w:t>
      </w:r>
    </w:p>
    <w:p w14:paraId="44C1D12F" w14:textId="77777777" w:rsidR="00002744" w:rsidRPr="00435343" w:rsidRDefault="00002744" w:rsidP="00002744">
      <w:pPr>
        <w:rPr>
          <w:rFonts w:ascii="Arial" w:hAnsi="Arial" w:cs="Arial"/>
          <w:b/>
          <w:sz w:val="20"/>
          <w:lang w:val="es-MX"/>
        </w:rPr>
      </w:pPr>
    </w:p>
    <w:p w14:paraId="1188E5F6" w14:textId="7BB06525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1º 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sábado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Casablanca</w:t>
      </w:r>
    </w:p>
    <w:p w14:paraId="4CF66717" w14:textId="47194028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Llegada de su vuelo al aeropuerto de Casablanca.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Asistencia, traslado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al hotel. Cena y alojamiento.</w:t>
      </w:r>
    </w:p>
    <w:p w14:paraId="2EC3FFB0" w14:textId="77777777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0C81C290" w14:textId="3034C5C6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2º 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domingo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Casablanca / Rabat /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Tanger </w:t>
      </w:r>
    </w:p>
    <w:p w14:paraId="6048136F" w14:textId="6E72F5A0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Visita panorámica de la ciudad: Boulevard de la Corniche, paseo marítimo y luego la carretera de la costa por donde se llega a Anfa, para terminar en el exterior de la gran mezquita de Hassan II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(</w:t>
      </w:r>
      <w:r w:rsidRPr="00A46CB0">
        <w:rPr>
          <w:rStyle w:val="Textoennegrita"/>
          <w:rFonts w:ascii="Arial" w:eastAsiaTheme="minorHAnsi" w:hAnsi="Arial" w:cs="Arial"/>
          <w:color w:val="7030A0"/>
          <w:sz w:val="20"/>
          <w:szCs w:val="20"/>
          <w:lang w:val="es-MX"/>
        </w:rPr>
        <w:t>opcionalmente se podrá visitar el interior de la misma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).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Salida hacia la ciudad imperial de Rabat, capital del Reino de Marruecos desde 1.912. La visita comienza por el Palacio Real “Dar el Makhzen” que alberga</w:t>
      </w:r>
      <w:r w:rsidR="00A46CB0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la mezquita de “Hombres de Fez”. Visita de la Kasbah de los Oudaias. Tiempo libre para el almuerzo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(</w:t>
      </w:r>
      <w:r w:rsidRPr="00925257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Almuerzo incluido en el Paquete Plus P+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).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Continuación a Tánger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.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Cena y alojamiento.</w:t>
      </w:r>
    </w:p>
    <w:p w14:paraId="2509061C" w14:textId="77777777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5310D9EF" w14:textId="62C1FE4E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3º 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lunes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Tánger / Xaouen /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Meknes / Fez </w:t>
      </w:r>
    </w:p>
    <w:p w14:paraId="10D3FFD1" w14:textId="77777777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Visita de la medina y salida hacia las montañas del Rif donde se encuentra la bonita y famosa ciudad de Xaouen. Breve parada en esta población de casas blancas con puertas de color de un fuerte azul cobalto. Almuerzo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(</w:t>
      </w:r>
      <w:r w:rsidRPr="00925257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Almuerzo incluido en el Paquete Plus P+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). </w:t>
      </w:r>
      <w:r w:rsidRPr="00925257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Continuación hacia la ciudad imperial de Meknes. Visita de la ciudad de Mulay Ismail. Comenzamos por las murallas con sus magníficas puertas como Bab Manssur y continuación al estanque de Aghal con una superficie de cuatro hectáreas. Un corto paseo nos lleva a la ciudad imperial de Fez.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Cena y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alojamiento.</w:t>
      </w:r>
      <w:r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</w:p>
    <w:p w14:paraId="7DB3B5C6" w14:textId="77777777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6EB77569" w14:textId="17135EF5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4º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martes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Fez</w:t>
      </w:r>
    </w:p>
    <w:p w14:paraId="5F482E44" w14:textId="5FB7AD62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Salida y visita para conocer Fez. Visita de las puertas doradas del Palacio Real construidas</w:t>
      </w:r>
      <w:r w:rsid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por los maestros en bronce. Visitaremos la antigua medina con su Medersa de Bou Anania, la fuente</w:t>
      </w:r>
      <w:r w:rsid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Nejjarine una de las más bellas de la medina, mezquita Karaouine que alberga uno de los principales</w:t>
      </w:r>
      <w:r w:rsid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286632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centros culturales del Islám y es la sede de la Universidad de Fez y el mausoleo de Mulay Idriss. Nos detendremos en el famoso barrio de los curtidores, único en el mundo.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Almuerzo, cena y alojamiento.</w:t>
      </w:r>
    </w:p>
    <w:p w14:paraId="4BF28876" w14:textId="77777777" w:rsidR="00F20AF1" w:rsidRDefault="00F20AF1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4AA3FA66" w14:textId="5D80FFEB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5º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miércoles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Fez / Ifran / Beni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Mellal / Marrakech</w:t>
      </w:r>
    </w:p>
    <w:p w14:paraId="1B69A82F" w14:textId="77777777" w:rsidR="00F20AF1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Salida atravesando las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suaves montañas del medio Atlas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hacia la pintoresca Ifrane con sus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puntiagudos tejados de pizarra.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Salida hacia la ciudad de Beni Mellal.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Tiempo libre para el almuerzo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(</w:t>
      </w:r>
      <w:r w:rsidRPr="00F20AF1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Almuerzo incluido en el Paquete</w:t>
      </w:r>
      <w:r w:rsidR="00F20AF1" w:rsidRPr="00F20AF1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Plus P+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).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Continuación a los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fértiles valles de Marrakech.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Cena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y alojamiento.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</w:p>
    <w:p w14:paraId="3DFD86B7" w14:textId="77777777" w:rsidR="00F20AF1" w:rsidRDefault="00F20AF1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455C9D58" w14:textId="1C2F46D9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6º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jueves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Marrakech</w:t>
      </w:r>
    </w:p>
    <w:p w14:paraId="2F52A187" w14:textId="66D77D20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Visita de la ciudad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que empieza por los jardines de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la Menara, parque de 14 hectáreas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en cuyo centro se encuentra un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inmenso estanque del siglo XII. El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majestuoso minarete de la Koutoubia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torre gemela de la Giralda de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Sevilla. Continuación al palacio Bahía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ejemplo del medievo musulmán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donde destaca la sala de embajadores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con su techo en forma de barco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invertido. La visita termina en un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lugar mágico: la plaza de Jemaa el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F´na (asamblea del pueblo), declarada</w:t>
      </w:r>
      <w:r w:rsidR="00F20AF1"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F20AF1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patrimonio de la Humanidad.</w:t>
      </w:r>
      <w:r w:rsidR="0052534C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Almuerzo (</w:t>
      </w:r>
      <w:r w:rsidRPr="0052534C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Almuerzo incluido en</w:t>
      </w:r>
      <w:r w:rsidR="00F20AF1" w:rsidRPr="0052534C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 xml:space="preserve"> </w:t>
      </w:r>
      <w:r w:rsidRPr="0052534C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 xml:space="preserve">el Paquete Plus P+) </w:t>
      </w:r>
      <w:r w:rsidRPr="0052534C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y tarde libre.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Cena y alojamiento.</w:t>
      </w:r>
    </w:p>
    <w:p w14:paraId="6FF2EC19" w14:textId="77777777" w:rsidR="00F20AF1" w:rsidRPr="00925257" w:rsidRDefault="00F20AF1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100B9448" w14:textId="29BC2B71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7º </w:t>
      </w:r>
      <w:r w:rsidR="00420ADB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viernes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420ADB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Marrakech</w:t>
      </w:r>
    </w:p>
    <w:p w14:paraId="48E2C167" w14:textId="7893C1B6" w:rsid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Día libre. Situada en el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centro del país es la más importante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de las ciudades imperiales. Podrán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realizar diferentes excursiones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facultativas como el Valle de Ourika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o Essaouira. En la noche Marrakech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es mágica, suntuosos restaurantes,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modernas discotecas y como no el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eterno espectáculo de “La Carrera</w:t>
      </w:r>
      <w:r w:rsidR="0052534C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de la Pólvora” en el restaurante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Chez Ali.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Almuerzo (</w:t>
      </w:r>
      <w:r w:rsidRPr="00420ADB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Almuerzo</w:t>
      </w:r>
      <w:r w:rsidR="00F20AF1" w:rsidRPr="00420ADB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color w:val="FF0000"/>
          <w:sz w:val="20"/>
          <w:szCs w:val="20"/>
          <w:lang w:val="es-MX"/>
        </w:rPr>
        <w:t>incluido en el Paquete Plus P+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).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Cena y alojamiento.</w:t>
      </w:r>
    </w:p>
    <w:p w14:paraId="319FE72D" w14:textId="77777777" w:rsidR="00933BFE" w:rsidRDefault="00933BFE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</w:p>
    <w:p w14:paraId="49AB38C9" w14:textId="767996ED" w:rsidR="00925257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Día 8º </w:t>
      </w:r>
      <w:r w:rsidR="00420ADB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sábado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: </w:t>
      </w:r>
      <w:r w:rsidR="00420ADB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ab/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Marrakech o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Casablanca / Aeropuerto</w:t>
      </w:r>
    </w:p>
    <w:p w14:paraId="02E45250" w14:textId="028C92DB" w:rsidR="00F1612C" w:rsidRPr="00925257" w:rsidRDefault="00925257" w:rsidP="00925257">
      <w:pPr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Desayuno.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A la hora indicada traslado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al aeropuerto de Marrakech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o Casablanca para embarcar en el</w:t>
      </w:r>
      <w:r w:rsidR="00F20AF1"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20ADB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vuelo de salida.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Fin de viaje y de</w:t>
      </w:r>
      <w:r w:rsidR="00F20AF1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Pr="009252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nuestros servicios.</w:t>
      </w:r>
    </w:p>
    <w:p w14:paraId="020B19CD" w14:textId="2B4FB594" w:rsidR="0056689C" w:rsidRPr="006D77A3" w:rsidRDefault="00002744" w:rsidP="00002744">
      <w:pPr>
        <w:rPr>
          <w:rFonts w:ascii="Arial" w:hAnsi="Arial" w:cs="Arial"/>
          <w:b/>
          <w:sz w:val="20"/>
          <w:lang w:val="es-MX"/>
        </w:rPr>
      </w:pPr>
      <w:r w:rsidRPr="006D77A3">
        <w:rPr>
          <w:rFonts w:ascii="Arial" w:hAnsi="Arial" w:cs="Arial"/>
          <w:b/>
          <w:sz w:val="20"/>
          <w:lang w:val="es-MX"/>
        </w:rPr>
        <w:lastRenderedPageBreak/>
        <w:t>INCLUYE</w:t>
      </w:r>
    </w:p>
    <w:p w14:paraId="29CE3BB4" w14:textId="1158B14B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Traslados aeropuerto- hotel- aeropuerto.</w:t>
      </w:r>
    </w:p>
    <w:p w14:paraId="7A3B3009" w14:textId="105CEEE4" w:rsidR="00146FFD" w:rsidRPr="00146FFD" w:rsidRDefault="00146FFD" w:rsidP="00A75FEA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Alojamiento y desayuno en hoteles de categoría seleccionada en habitaciones dobles con baño o ducha.</w:t>
      </w:r>
    </w:p>
    <w:p w14:paraId="4BAEBF22" w14:textId="58EF61EC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 xml:space="preserve">7 cenas y 1 almuerzo </w:t>
      </w:r>
    </w:p>
    <w:p w14:paraId="09E74A8E" w14:textId="7586B41A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Circuito en autocar o minibús, según ruta indicada.</w:t>
      </w:r>
    </w:p>
    <w:p w14:paraId="0923DCD7" w14:textId="4BB83E09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Guía acompañante de habla hispana. Las visitas previstas en el programa.</w:t>
      </w:r>
    </w:p>
    <w:p w14:paraId="3FDBE0DF" w14:textId="7630AB05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Guía local en Casablanca, Rabat, Tánger, Meknes, Fez y Marrakech.</w:t>
      </w:r>
    </w:p>
    <w:p w14:paraId="72E01C4D" w14:textId="441DD128" w:rsidR="00146FFD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La entrada a los siguientes lugares; Fez, medersa, Marrakech: Palacio Bahía.</w:t>
      </w:r>
    </w:p>
    <w:p w14:paraId="7DE40458" w14:textId="46EDCC90" w:rsidR="0056689C" w:rsidRPr="00146FFD" w:rsidRDefault="00146FFD" w:rsidP="00146FFD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</w:pPr>
      <w:r w:rsidRPr="00146FFD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  <w:lang w:val="es-MX"/>
        </w:rPr>
        <w:t>Seguro de viaje.</w:t>
      </w:r>
    </w:p>
    <w:p w14:paraId="3C95D65F" w14:textId="77777777" w:rsidR="00146FFD" w:rsidRDefault="00146FFD" w:rsidP="00146FFD">
      <w:pPr>
        <w:tabs>
          <w:tab w:val="left" w:pos="1152"/>
        </w:tabs>
        <w:rPr>
          <w:rFonts w:ascii="Arial" w:eastAsia="Verdana" w:hAnsi="Arial" w:cs="Arial"/>
          <w:b/>
          <w:lang w:val="es-MX"/>
        </w:rPr>
      </w:pPr>
    </w:p>
    <w:p w14:paraId="5F0957FC" w14:textId="25F10B6A" w:rsidR="00A45A3E" w:rsidRPr="00EF5342" w:rsidRDefault="00002744" w:rsidP="00002744">
      <w:pPr>
        <w:tabs>
          <w:tab w:val="left" w:pos="1152"/>
        </w:tabs>
        <w:rPr>
          <w:rFonts w:ascii="Arial" w:eastAsia="Verdana" w:hAnsi="Arial" w:cs="Arial"/>
          <w:b/>
          <w:lang w:val="es-MX"/>
        </w:rPr>
      </w:pPr>
      <w:r w:rsidRPr="00414AF3">
        <w:rPr>
          <w:rFonts w:ascii="Arial" w:eastAsia="Verdana" w:hAnsi="Arial" w:cs="Arial"/>
          <w:b/>
          <w:sz w:val="20"/>
          <w:szCs w:val="20"/>
          <w:lang w:val="es-MX"/>
        </w:rPr>
        <w:t>NO INCLUYE</w:t>
      </w:r>
    </w:p>
    <w:p w14:paraId="4F2D2A15" w14:textId="77777777" w:rsidR="00A45A3E" w:rsidRPr="000D2BEA" w:rsidRDefault="00A45A3E" w:rsidP="00A45A3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D2BEA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12B44A9D" w14:textId="77777777" w:rsidR="00A45A3E" w:rsidRPr="000D2BEA" w:rsidRDefault="00A45A3E" w:rsidP="00A45A3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D2BEA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r>
        <w:rPr>
          <w:rFonts w:ascii="Arial" w:hAnsi="Arial" w:cs="Arial"/>
          <w:sz w:val="20"/>
          <w:szCs w:val="20"/>
          <w:lang w:val="es-MX"/>
        </w:rPr>
        <w:t>ó marcadas como</w:t>
      </w:r>
      <w:r w:rsidRPr="000D2BEA">
        <w:rPr>
          <w:rFonts w:ascii="Arial" w:hAnsi="Arial" w:cs="Arial"/>
          <w:sz w:val="20"/>
          <w:szCs w:val="20"/>
          <w:lang w:val="es-MX"/>
        </w:rPr>
        <w:t xml:space="preserve"> opcionales</w:t>
      </w:r>
    </w:p>
    <w:p w14:paraId="299F1A7D" w14:textId="77777777" w:rsidR="00A45A3E" w:rsidRPr="000D2BEA" w:rsidRDefault="00A45A3E" w:rsidP="00A45A3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D2BEA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7C802C1" w14:textId="77777777" w:rsidR="00A45A3E" w:rsidRDefault="00A45A3E" w:rsidP="00A45A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D2BEA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069C93B0" w14:textId="242AE7F7" w:rsidR="00A45A3E" w:rsidRPr="00414AF3" w:rsidRDefault="00A45A3E" w:rsidP="002A0E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lang w:val="es-ES_tradnl" w:bidi="ar-SA"/>
        </w:rPr>
      </w:pPr>
      <w:r w:rsidRPr="00414AF3">
        <w:rPr>
          <w:rFonts w:ascii="Arial" w:hAnsi="Arial" w:cs="Arial"/>
          <w:sz w:val="20"/>
          <w:szCs w:val="20"/>
          <w:lang w:val="es-MX"/>
        </w:rPr>
        <w:t>Bebidas</w:t>
      </w:r>
    </w:p>
    <w:p w14:paraId="08845CF9" w14:textId="77777777" w:rsidR="00146FFD" w:rsidRDefault="00146FFD" w:rsidP="00A45A3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DA7FCF" w14:textId="2BCD92C5" w:rsidR="00A45A3E" w:rsidRPr="00414AF3" w:rsidRDefault="00A45A3E" w:rsidP="00A45A3E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14AF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NOTAS:</w:t>
      </w:r>
    </w:p>
    <w:p w14:paraId="033B7FA0" w14:textId="1905821F" w:rsidR="00BA76AA" w:rsidRPr="00414AF3" w:rsidRDefault="00BA76AA" w:rsidP="000121F5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14AF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Tramo de Casablanca – Madrid, o tramo Marrakech - Madrid opcional precio por pax 180USD NETO + tasas aéreas (aprox. 76$).</w:t>
      </w:r>
    </w:p>
    <w:p w14:paraId="4912196F" w14:textId="101EA8B9" w:rsidR="00270D4D" w:rsidRPr="000121F5" w:rsidRDefault="00270D4D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/>
        </w:rPr>
        <w:t>En caso de que la llegada sea posterior a las 19:00 horas la cena del primer día no estará incluida.</w:t>
      </w:r>
    </w:p>
    <w:p w14:paraId="5666A22C" w14:textId="77777777" w:rsidR="00270D4D" w:rsidRPr="000121F5" w:rsidRDefault="00270D4D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/>
        </w:rPr>
        <w:t>Los almuerzos o cenas podrán ser en hotel o restaurante indistintamente (bebidas no incluidas)</w:t>
      </w:r>
    </w:p>
    <w:p w14:paraId="3A684C93" w14:textId="77777777" w:rsidR="00270D4D" w:rsidRPr="000121F5" w:rsidRDefault="00270D4D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/>
        </w:rPr>
        <w:t>El orden del itinerario puede ser modificado sin previo aviso, así como el orden de las visitas, manteniéndose íntegramente el programa de visitas y excursiones.</w:t>
      </w:r>
    </w:p>
    <w:p w14:paraId="7BA12903" w14:textId="434CF4EA" w:rsidR="00270D4D" w:rsidRPr="000121F5" w:rsidRDefault="00270D4D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/>
        </w:rPr>
        <w:t>Viaje sujeto a condiciones especiales de contratación y anulación.</w:t>
      </w:r>
    </w:p>
    <w:p w14:paraId="786F77CD" w14:textId="337A732C" w:rsidR="00A45A3E" w:rsidRPr="000121F5" w:rsidRDefault="00A45A3E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6753F266" w14:textId="77777777" w:rsidR="00A45A3E" w:rsidRPr="000121F5" w:rsidRDefault="00A45A3E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1A8727DF" w14:textId="77777777" w:rsidR="00A45A3E" w:rsidRPr="000121F5" w:rsidRDefault="00A45A3E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4E11504E" w14:textId="77777777" w:rsidR="00A45A3E" w:rsidRPr="000121F5" w:rsidRDefault="00A45A3E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0942A651" w14:textId="77777777" w:rsidR="00A45A3E" w:rsidRPr="000121F5" w:rsidRDefault="00A45A3E" w:rsidP="000121F5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0121F5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7814D57D" w14:textId="1B8B1863" w:rsidR="00A45A3E" w:rsidRPr="00933BFE" w:rsidRDefault="00A45A3E" w:rsidP="0066498F">
      <w:pPr>
        <w:pStyle w:val="Prrafodelista"/>
        <w:numPr>
          <w:ilvl w:val="0"/>
          <w:numId w:val="9"/>
        </w:numPr>
        <w:spacing w:line="252" w:lineRule="auto"/>
        <w:rPr>
          <w:rFonts w:ascii="Arial" w:hAnsi="Arial" w:cs="Arial"/>
          <w:b/>
          <w:sz w:val="20"/>
          <w:szCs w:val="20"/>
          <w:lang w:val="es-MX"/>
        </w:rPr>
      </w:pPr>
      <w:r w:rsidRPr="00933BFE">
        <w:rPr>
          <w:rFonts w:ascii="Arial" w:hAnsi="Arial" w:cs="Arial"/>
          <w:sz w:val="20"/>
          <w:szCs w:val="20"/>
          <w:lang w:val="es-MX" w:eastAsia="es-MX" w:bidi="ar-SA"/>
        </w:rPr>
        <w:t>Tarifas cotizadas en habitaciones estándar.</w:t>
      </w:r>
      <w:r w:rsidR="00933BFE" w:rsidRPr="00933BFE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933BFE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23AA2CEB" w14:textId="7E44483B" w:rsidR="00B82834" w:rsidRDefault="00B82834" w:rsidP="00BF4A25">
      <w:pPr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p w14:paraId="370D57C8" w14:textId="77777777" w:rsidR="00933BFE" w:rsidRDefault="00933BFE" w:rsidP="00BF4A25">
      <w:pPr>
        <w:autoSpaceDE w:val="0"/>
        <w:autoSpaceDN w:val="0"/>
        <w:adjustRightInd w:val="0"/>
        <w:rPr>
          <w:rStyle w:val="Textoennegrita"/>
          <w:rFonts w:ascii="Arial" w:hAnsi="Arial" w:cs="Arial"/>
          <w:sz w:val="20"/>
          <w:szCs w:val="20"/>
        </w:rPr>
      </w:pPr>
    </w:p>
    <w:tbl>
      <w:tblPr>
        <w:tblW w:w="6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4190"/>
        <w:gridCol w:w="552"/>
      </w:tblGrid>
      <w:tr w:rsidR="007E143B" w:rsidRPr="007E143B" w14:paraId="4FBD05BC" w14:textId="77777777" w:rsidTr="00414AF3">
        <w:trPr>
          <w:trHeight w:val="263"/>
          <w:jc w:val="center"/>
        </w:trPr>
        <w:tc>
          <w:tcPr>
            <w:tcW w:w="611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4F76"/>
            <w:noWrap/>
            <w:vAlign w:val="center"/>
            <w:hideMark/>
          </w:tcPr>
          <w:p w14:paraId="5E2BC1F7" w14:textId="77777777" w:rsidR="007E143B" w:rsidRPr="007E143B" w:rsidRDefault="007E143B" w:rsidP="007E14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14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7E143B" w:rsidRPr="007E143B" w14:paraId="694AF7F2" w14:textId="77777777" w:rsidTr="00414AF3">
        <w:trPr>
          <w:trHeight w:val="252"/>
          <w:jc w:val="center"/>
        </w:trPr>
        <w:tc>
          <w:tcPr>
            <w:tcW w:w="137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2191D172" w14:textId="77777777" w:rsidR="007E143B" w:rsidRPr="007E143B" w:rsidRDefault="007E143B" w:rsidP="007E14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14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721CB536" w14:textId="77777777" w:rsidR="007E143B" w:rsidRPr="007E143B" w:rsidRDefault="007E143B" w:rsidP="007E14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14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8DB3E2" w:themeFill="text2" w:themeFillTint="66"/>
            <w:noWrap/>
            <w:vAlign w:val="center"/>
            <w:hideMark/>
          </w:tcPr>
          <w:p w14:paraId="5260DEAA" w14:textId="77777777" w:rsidR="007E143B" w:rsidRPr="007E143B" w:rsidRDefault="007E143B" w:rsidP="007E14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143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E143B" w:rsidRPr="007E143B" w14:paraId="06C7015D" w14:textId="77777777" w:rsidTr="00414AF3">
        <w:trPr>
          <w:trHeight w:val="252"/>
          <w:jc w:val="center"/>
        </w:trPr>
        <w:tc>
          <w:tcPr>
            <w:tcW w:w="1372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F718" w14:textId="3C6D6A34" w:rsidR="007E143B" w:rsidRPr="007E143B" w:rsidRDefault="007E143B" w:rsidP="007E143B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  <w:t>CASABLANCA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169" w14:textId="600F7B29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IDOU 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>P</w:t>
            </w:r>
            <w:r>
              <w:rPr>
                <w:rFonts w:ascii="Calibri" w:hAnsi="Calibri"/>
                <w:color w:val="000000"/>
                <w:lang w:eastAsia="es-MX" w:bidi="ar-SA"/>
              </w:rPr>
              <w:t>LAZA</w:t>
            </w: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 / KENZI BASMA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142FBF35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C</w:t>
            </w:r>
          </w:p>
        </w:tc>
      </w:tr>
      <w:tr w:rsidR="007E143B" w:rsidRPr="007E143B" w14:paraId="66665900" w14:textId="77777777" w:rsidTr="00414AF3">
        <w:trPr>
          <w:trHeight w:val="252"/>
          <w:jc w:val="center"/>
        </w:trPr>
        <w:tc>
          <w:tcPr>
            <w:tcW w:w="1372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1B8C0D9A" w14:textId="77777777" w:rsidR="007E143B" w:rsidRPr="007E143B" w:rsidRDefault="007E143B" w:rsidP="007E143B">
            <w:pPr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4FD" w14:textId="1285E09B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eastAsia="es-MX" w:bidi="ar-SA"/>
              </w:rPr>
            </w:pPr>
            <w:r w:rsidRPr="007E143B">
              <w:rPr>
                <w:rFonts w:ascii="Calibri" w:hAnsi="Calibri"/>
                <w:color w:val="000000"/>
                <w:lang w:eastAsia="es-MX" w:bidi="ar-SA"/>
              </w:rPr>
              <w:t xml:space="preserve">PALACE </w:t>
            </w:r>
            <w:r>
              <w:rPr>
                <w:rFonts w:ascii="Calibri" w:hAnsi="Calibri"/>
                <w:color w:val="000000"/>
                <w:lang w:eastAsia="es-MX" w:bidi="ar-SA"/>
              </w:rPr>
              <w:t>DA</w:t>
            </w:r>
            <w:r w:rsidRPr="007E143B">
              <w:rPr>
                <w:rFonts w:ascii="Calibri" w:hAnsi="Calibri"/>
                <w:color w:val="000000"/>
                <w:lang w:eastAsia="es-MX" w:bidi="ar-SA"/>
              </w:rPr>
              <w:t xml:space="preserve">NFA / SHERATON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0E4D906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S</w:t>
            </w:r>
          </w:p>
        </w:tc>
      </w:tr>
      <w:tr w:rsidR="007E143B" w:rsidRPr="007E143B" w14:paraId="45FF455B" w14:textId="77777777" w:rsidTr="00414AF3">
        <w:trPr>
          <w:trHeight w:val="252"/>
          <w:jc w:val="center"/>
        </w:trPr>
        <w:tc>
          <w:tcPr>
            <w:tcW w:w="1372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3A13" w14:textId="4F367C1C" w:rsidR="007E143B" w:rsidRPr="007E143B" w:rsidRDefault="007E143B" w:rsidP="007E143B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b/>
                <w:bCs/>
                <w:color w:val="000000"/>
                <w:lang w:val="es-ES_tradnl" w:eastAsia="es-MX" w:bidi="ar-SA"/>
              </w:rPr>
              <w:t>TÁNGER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F7D8" w14:textId="5079CF17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KENZI SOLAZUR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39A9E692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C</w:t>
            </w:r>
          </w:p>
        </w:tc>
      </w:tr>
      <w:tr w:rsidR="007E143B" w:rsidRPr="007E143B" w14:paraId="692F8AC9" w14:textId="77777777" w:rsidTr="00414AF3">
        <w:trPr>
          <w:trHeight w:val="252"/>
          <w:jc w:val="center"/>
        </w:trPr>
        <w:tc>
          <w:tcPr>
            <w:tcW w:w="1372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6D14977C" w14:textId="77777777" w:rsidR="007E143B" w:rsidRPr="007E143B" w:rsidRDefault="007E143B" w:rsidP="007E143B">
            <w:pPr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71AC" w14:textId="444A66E0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ANDALUCIA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>/ LE GRAND MOGADOR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2789B69E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S</w:t>
            </w:r>
          </w:p>
        </w:tc>
      </w:tr>
      <w:tr w:rsidR="007E143B" w:rsidRPr="007E143B" w14:paraId="060CC73F" w14:textId="77777777" w:rsidTr="00414AF3">
        <w:trPr>
          <w:trHeight w:val="252"/>
          <w:jc w:val="center"/>
        </w:trPr>
        <w:tc>
          <w:tcPr>
            <w:tcW w:w="1372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347B" w14:textId="658291F8" w:rsidR="007E143B" w:rsidRPr="007E143B" w:rsidRDefault="007E143B" w:rsidP="007E143B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  <w:t>FEZ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F5E" w14:textId="05273DAC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eastAsia="es-MX" w:bidi="ar-SA"/>
              </w:rPr>
            </w:pPr>
            <w:r w:rsidRPr="007E143B">
              <w:rPr>
                <w:rFonts w:ascii="Calibri" w:hAnsi="Calibri"/>
                <w:color w:val="000000"/>
                <w:lang w:eastAsia="es-MX" w:bidi="ar-SA"/>
              </w:rPr>
              <w:t xml:space="preserve">ROYAL MIRAGE / ACROSS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1E3F8638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C</w:t>
            </w:r>
          </w:p>
        </w:tc>
      </w:tr>
      <w:tr w:rsidR="007E143B" w:rsidRPr="007E143B" w14:paraId="05894928" w14:textId="77777777" w:rsidTr="00414AF3">
        <w:trPr>
          <w:trHeight w:val="252"/>
          <w:jc w:val="center"/>
        </w:trPr>
        <w:tc>
          <w:tcPr>
            <w:tcW w:w="1372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3447881" w14:textId="77777777" w:rsidR="007E143B" w:rsidRPr="007E143B" w:rsidRDefault="007E143B" w:rsidP="007E143B">
            <w:pPr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4AD" w14:textId="360D7CA0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BARCELO /ZALAGH PALACE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11B91C8F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S</w:t>
            </w:r>
          </w:p>
        </w:tc>
      </w:tr>
      <w:tr w:rsidR="007E143B" w:rsidRPr="007E143B" w14:paraId="05E36BA8" w14:textId="77777777" w:rsidTr="00414AF3">
        <w:trPr>
          <w:trHeight w:val="252"/>
          <w:jc w:val="center"/>
        </w:trPr>
        <w:tc>
          <w:tcPr>
            <w:tcW w:w="1372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EC847A3" w14:textId="33DF6A26" w:rsidR="007E143B" w:rsidRPr="007E143B" w:rsidRDefault="007E143B" w:rsidP="007E143B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  <w:t>MARRAKECH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CB0" w14:textId="4ACFA46F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AYOUB / 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>PALM MENARA</w:t>
            </w: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 / 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>MERIEM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7320B2B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C</w:t>
            </w:r>
          </w:p>
        </w:tc>
      </w:tr>
      <w:tr w:rsidR="007E143B" w:rsidRPr="007E143B" w14:paraId="73EE4F1C" w14:textId="77777777" w:rsidTr="00414AF3">
        <w:trPr>
          <w:trHeight w:val="263"/>
          <w:jc w:val="center"/>
        </w:trPr>
        <w:tc>
          <w:tcPr>
            <w:tcW w:w="1372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00A5C940" w14:textId="77777777" w:rsidR="007E143B" w:rsidRPr="007E143B" w:rsidRDefault="007E143B" w:rsidP="007E143B">
            <w:pPr>
              <w:rPr>
                <w:rFonts w:ascii="Calibri" w:hAnsi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3265F15" w14:textId="515F7CCA" w:rsidR="007E143B" w:rsidRPr="007E143B" w:rsidRDefault="00414AF3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 xml:space="preserve">MOGADOR / KENZI </w:t>
            </w:r>
            <w:r>
              <w:rPr>
                <w:rFonts w:ascii="Calibri" w:hAnsi="Calibri"/>
                <w:color w:val="000000"/>
                <w:lang w:val="es-MX" w:eastAsia="es-MX" w:bidi="ar-SA"/>
              </w:rPr>
              <w:t>FARAH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221AA9BC" w14:textId="77777777" w:rsidR="007E143B" w:rsidRPr="007E143B" w:rsidRDefault="007E143B" w:rsidP="007E143B">
            <w:pPr>
              <w:jc w:val="center"/>
              <w:rPr>
                <w:rFonts w:ascii="Calibri" w:hAnsi="Calibri"/>
                <w:color w:val="000000"/>
                <w:lang w:val="es-MX" w:eastAsia="es-MX" w:bidi="ar-SA"/>
              </w:rPr>
            </w:pPr>
            <w:r w:rsidRPr="007E143B">
              <w:rPr>
                <w:rFonts w:ascii="Calibri" w:hAnsi="Calibri"/>
                <w:color w:val="000000"/>
                <w:lang w:val="es-MX" w:eastAsia="es-MX" w:bidi="ar-SA"/>
              </w:rPr>
              <w:t>S</w:t>
            </w:r>
          </w:p>
        </w:tc>
      </w:tr>
    </w:tbl>
    <w:p w14:paraId="70282787" w14:textId="3929C6C3" w:rsidR="007E143B" w:rsidRDefault="007E143B" w:rsidP="00BF4A25">
      <w:pPr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tbl>
      <w:tblPr>
        <w:tblW w:w="8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965"/>
        <w:gridCol w:w="966"/>
      </w:tblGrid>
      <w:tr w:rsidR="00B67231" w:rsidRPr="00B67231" w14:paraId="529211DF" w14:textId="77777777" w:rsidTr="00B31A03">
        <w:trPr>
          <w:trHeight w:val="395"/>
          <w:jc w:val="center"/>
        </w:trPr>
        <w:tc>
          <w:tcPr>
            <w:tcW w:w="6868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573EB03E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lastRenderedPageBreak/>
              <w:t>SERVICIOS TERRESTRES</w:t>
            </w:r>
          </w:p>
        </w:tc>
        <w:tc>
          <w:tcPr>
            <w:tcW w:w="1931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1AFC0D2C" w14:textId="0414D0EF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CASABLANCA </w:t>
            </w:r>
            <w:r w:rsidR="00933B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 MARRAKECH</w:t>
            </w:r>
          </w:p>
        </w:tc>
      </w:tr>
      <w:tr w:rsidR="00B67231" w:rsidRPr="00B67231" w14:paraId="0A219634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C47D64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350B35F4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8 DÍAS</w:t>
            </w:r>
          </w:p>
        </w:tc>
      </w:tr>
      <w:tr w:rsidR="00B67231" w:rsidRPr="00B67231" w14:paraId="4C40DE52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58C0415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27858680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4885B36B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</w:tr>
      <w:tr w:rsidR="00B67231" w:rsidRPr="00B67231" w14:paraId="319E5611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D072" w14:textId="29648617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4 May </w:t>
            </w:r>
            <w:r w:rsidR="00933B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22 Jun / 07 Sep </w:t>
            </w:r>
            <w:r w:rsidR="00933B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26 Oct / 07 Dic </w:t>
            </w:r>
            <w:r w:rsidR="00933B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15 Feb 2025 </w:t>
            </w:r>
            <w:r w:rsidRPr="00B6723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21 y 28 Dic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8B65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lang w:val="es-MX" w:eastAsia="es-ES" w:bidi="ar-SA"/>
              </w:rPr>
              <w:t>770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DBA5D69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990</w:t>
            </w:r>
          </w:p>
        </w:tc>
      </w:tr>
      <w:tr w:rsidR="00B67231" w:rsidRPr="00B67231" w14:paraId="43932186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AA9C" w14:textId="097FA03B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29 Jun </w:t>
            </w:r>
            <w:r w:rsidR="00933B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31 Ago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F3BF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lang w:val="es-ES" w:eastAsia="es-ES" w:bidi="ar-SA"/>
              </w:rPr>
              <w:t>780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9B4AE65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1030</w:t>
            </w:r>
          </w:p>
        </w:tc>
      </w:tr>
      <w:tr w:rsidR="00B67231" w:rsidRPr="00B67231" w14:paraId="793C0EB5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DA6E" w14:textId="34298EED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02 </w:t>
            </w:r>
            <w:r w:rsidR="00933B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–</w:t>
            </w: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30 Nov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BC7A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lang w:val="es-ES" w:eastAsia="es-ES" w:bidi="ar-SA"/>
              </w:rPr>
              <w:t>730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0F45A61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960</w:t>
            </w:r>
          </w:p>
        </w:tc>
      </w:tr>
      <w:tr w:rsidR="00B67231" w:rsidRPr="00B67231" w14:paraId="0E3B778E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1CEF" w14:textId="77777777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21 y 28 Dic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B4F2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BF983A0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1130</w:t>
            </w:r>
          </w:p>
        </w:tc>
      </w:tr>
      <w:tr w:rsidR="00B67231" w:rsidRPr="00B67231" w14:paraId="02CD5958" w14:textId="77777777" w:rsidTr="00B31A03">
        <w:trPr>
          <w:trHeight w:val="232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41AE" w14:textId="77777777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Mar - 26 Abr 2025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170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090EC7D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1060</w:t>
            </w:r>
          </w:p>
        </w:tc>
      </w:tr>
      <w:tr w:rsidR="00B67231" w:rsidRPr="00B67231" w14:paraId="203E084E" w14:textId="77777777" w:rsidTr="00B31A03">
        <w:trPr>
          <w:trHeight w:val="244"/>
          <w:jc w:val="center"/>
        </w:trPr>
        <w:tc>
          <w:tcPr>
            <w:tcW w:w="686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1AE94808" w14:textId="77777777" w:rsidR="00B67231" w:rsidRPr="00B67231" w:rsidRDefault="00B67231" w:rsidP="00B67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Sup.single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27D2431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E228A5" w14:textId="77777777" w:rsidR="00B67231" w:rsidRPr="00B67231" w:rsidRDefault="00B67231" w:rsidP="00B672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520</w:t>
            </w:r>
          </w:p>
        </w:tc>
      </w:tr>
    </w:tbl>
    <w:p w14:paraId="2950BD01" w14:textId="77777777" w:rsidR="00621EAE" w:rsidRDefault="00621EAE" w:rsidP="00BF4A25">
      <w:pPr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tbl>
      <w:tblPr>
        <w:tblW w:w="3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029"/>
      </w:tblGrid>
      <w:tr w:rsidR="00414AF3" w:rsidRPr="00414AF3" w14:paraId="03543D37" w14:textId="77777777" w:rsidTr="00933BFE">
        <w:trPr>
          <w:trHeight w:val="263"/>
          <w:jc w:val="center"/>
        </w:trPr>
        <w:tc>
          <w:tcPr>
            <w:tcW w:w="3636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4F76"/>
            <w:noWrap/>
            <w:vAlign w:val="center"/>
            <w:hideMark/>
          </w:tcPr>
          <w:p w14:paraId="6901C0F4" w14:textId="77777777" w:rsidR="00414AF3" w:rsidRPr="00414AF3" w:rsidRDefault="00414AF3" w:rsidP="00414A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</w:tr>
      <w:tr w:rsidR="00414AF3" w:rsidRPr="00414AF3" w14:paraId="5FCF1F1D" w14:textId="77777777" w:rsidTr="00933BFE">
        <w:trPr>
          <w:trHeight w:val="251"/>
          <w:jc w:val="center"/>
        </w:trPr>
        <w:tc>
          <w:tcPr>
            <w:tcW w:w="3636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365F91"/>
            <w:noWrap/>
            <w:vAlign w:val="center"/>
            <w:hideMark/>
          </w:tcPr>
          <w:p w14:paraId="51BD2206" w14:textId="77777777" w:rsidR="00414AF3" w:rsidRPr="00414AF3" w:rsidRDefault="00414AF3" w:rsidP="00414A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</w:tr>
      <w:tr w:rsidR="00414AF3" w:rsidRPr="00414AF3" w14:paraId="468744A9" w14:textId="77777777" w:rsidTr="00933BFE">
        <w:trPr>
          <w:trHeight w:val="251"/>
          <w:jc w:val="center"/>
        </w:trPr>
        <w:tc>
          <w:tcPr>
            <w:tcW w:w="3636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5B3D7"/>
            <w:noWrap/>
            <w:vAlign w:val="center"/>
            <w:hideMark/>
          </w:tcPr>
          <w:p w14:paraId="27E991B3" w14:textId="77777777" w:rsidR="00414AF3" w:rsidRPr="00414AF3" w:rsidRDefault="00414AF3" w:rsidP="00414A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SÁBADO</w:t>
            </w:r>
          </w:p>
        </w:tc>
      </w:tr>
      <w:tr w:rsidR="00414AF3" w:rsidRPr="00414AF3" w14:paraId="49A4C38E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EFEB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E3DF320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</w:tr>
      <w:tr w:rsidR="00414AF3" w:rsidRPr="00414AF3" w14:paraId="1074C338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E983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8813901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414AF3" w:rsidRPr="00414AF3" w14:paraId="652CCF50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E587" w14:textId="5A5958FA" w:rsidR="00414AF3" w:rsidRPr="00414AF3" w:rsidRDefault="00933BFE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="00414AF3"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E7F5000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414AF3" w:rsidRPr="00414AF3" w14:paraId="276BDD06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1C90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BC67464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</w:tr>
      <w:tr w:rsidR="00414AF3" w:rsidRPr="00414AF3" w14:paraId="67A6D412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FE9A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0D64876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414AF3" w:rsidRPr="00414AF3" w14:paraId="3AA560BB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A476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A0C083F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414AF3" w:rsidRPr="00414AF3" w14:paraId="69A54F9F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CBE8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FA78BA6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414AF3" w:rsidRPr="00414AF3" w14:paraId="2DF93E27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6B52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9DDD31F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414AF3" w:rsidRPr="00414AF3" w14:paraId="15457032" w14:textId="77777777" w:rsidTr="00933BFE">
        <w:trPr>
          <w:trHeight w:val="251"/>
          <w:jc w:val="center"/>
        </w:trPr>
        <w:tc>
          <w:tcPr>
            <w:tcW w:w="3636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5B3D7"/>
            <w:noWrap/>
            <w:vAlign w:val="center"/>
            <w:hideMark/>
          </w:tcPr>
          <w:p w14:paraId="4DD23B9A" w14:textId="77777777" w:rsidR="00414AF3" w:rsidRPr="00414AF3" w:rsidRDefault="00414AF3" w:rsidP="00414A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414AF3" w:rsidRPr="00414AF3" w14:paraId="2CE5380B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DB33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6FEED5E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04, 18</w:t>
            </w:r>
          </w:p>
        </w:tc>
      </w:tr>
      <w:tr w:rsidR="00414AF3" w:rsidRPr="00414AF3" w14:paraId="6FAE39EB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D270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7CD07B9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01, 15</w:t>
            </w:r>
          </w:p>
        </w:tc>
      </w:tr>
      <w:tr w:rsidR="00414AF3" w:rsidRPr="00414AF3" w14:paraId="2ADB7D02" w14:textId="77777777" w:rsidTr="00933BFE">
        <w:trPr>
          <w:trHeight w:val="251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D3ED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6FEDFC5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414AF3" w:rsidRPr="00414AF3" w14:paraId="7C6F7364" w14:textId="77777777" w:rsidTr="00933BFE">
        <w:trPr>
          <w:trHeight w:val="263"/>
          <w:jc w:val="center"/>
        </w:trPr>
        <w:tc>
          <w:tcPr>
            <w:tcW w:w="160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15773B1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2FE2F75" w14:textId="77777777" w:rsidR="00414AF3" w:rsidRPr="00414AF3" w:rsidRDefault="00414AF3" w:rsidP="00414A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14A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</w:tbl>
    <w:p w14:paraId="3146DBCC" w14:textId="77777777" w:rsidR="00414AF3" w:rsidRDefault="00414AF3" w:rsidP="000121F5">
      <w:pPr>
        <w:tabs>
          <w:tab w:val="left" w:pos="5790"/>
        </w:tabs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p w14:paraId="182B9540" w14:textId="77777777" w:rsidR="00933BFE" w:rsidRDefault="00933BFE" w:rsidP="000121F5">
      <w:pPr>
        <w:tabs>
          <w:tab w:val="left" w:pos="5790"/>
        </w:tabs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</w:tblGrid>
      <w:tr w:rsidR="00933BFE" w:rsidRPr="00B67231" w14:paraId="0DCE317C" w14:textId="77777777" w:rsidTr="00DA5056">
        <w:trPr>
          <w:trHeight w:val="315"/>
          <w:jc w:val="center"/>
        </w:trPr>
        <w:tc>
          <w:tcPr>
            <w:tcW w:w="5080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1F4E78"/>
            <w:noWrap/>
            <w:vAlign w:val="center"/>
            <w:hideMark/>
          </w:tcPr>
          <w:p w14:paraId="2DD63579" w14:textId="77777777" w:rsidR="00933BFE" w:rsidRPr="00B67231" w:rsidRDefault="00933BFE" w:rsidP="00DA50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PAQUETE PLUS (P+)</w:t>
            </w:r>
          </w:p>
        </w:tc>
      </w:tr>
      <w:tr w:rsidR="00933BFE" w:rsidRPr="00933BFE" w14:paraId="3C506F8E" w14:textId="77777777" w:rsidTr="00DA505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8EA9DB"/>
            <w:noWrap/>
            <w:vAlign w:val="center"/>
            <w:hideMark/>
          </w:tcPr>
          <w:p w14:paraId="3A4D234F" w14:textId="77777777" w:rsidR="00933BFE" w:rsidRPr="00B67231" w:rsidRDefault="00933BFE" w:rsidP="00DA50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TARIFAS POR PERSONA EN </w:t>
            </w:r>
            <w:r w:rsidRPr="00B6723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USD</w:t>
            </w:r>
          </w:p>
        </w:tc>
      </w:tr>
      <w:tr w:rsidR="00933BFE" w:rsidRPr="00B67231" w14:paraId="16CAFC87" w14:textId="77777777" w:rsidTr="00DA505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74D47CF7" w14:textId="77777777" w:rsidR="00933BFE" w:rsidRPr="00B67231" w:rsidRDefault="00933BFE" w:rsidP="00DA5056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" w:eastAsia="es-ES" w:bidi="ar-SA"/>
              </w:rPr>
              <w:t>8 días:</w:t>
            </w:r>
            <w:r w:rsidRPr="00B672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Casablanca / Marrakech: </w:t>
            </w:r>
            <w:r w:rsidRPr="00B672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933BFE" w:rsidRPr="00B67231" w14:paraId="231B60D9" w14:textId="77777777" w:rsidTr="00DA5056">
        <w:trPr>
          <w:trHeight w:val="315"/>
          <w:jc w:val="center"/>
        </w:trPr>
        <w:tc>
          <w:tcPr>
            <w:tcW w:w="508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044696FF" w14:textId="77777777" w:rsidR="00933BFE" w:rsidRPr="00B67231" w:rsidRDefault="00933BFE" w:rsidP="00DA5056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B67231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  <w:t>Incluye 5 Almuerzos</w:t>
            </w:r>
          </w:p>
        </w:tc>
      </w:tr>
    </w:tbl>
    <w:p w14:paraId="57B3CD6C" w14:textId="27DC9CD3" w:rsidR="00BA76AA" w:rsidRDefault="00BA76AA" w:rsidP="00933BFE">
      <w:pPr>
        <w:autoSpaceDE w:val="0"/>
        <w:autoSpaceDN w:val="0"/>
        <w:adjustRightInd w:val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sectPr w:rsidR="00BA76AA" w:rsidSect="00ED31B5">
      <w:headerReference w:type="default" r:id="rId9"/>
      <w:footerReference w:type="default" r:id="rId10"/>
      <w:type w:val="continuous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21BD" w14:textId="77777777" w:rsidR="00C41680" w:rsidRDefault="00C41680" w:rsidP="00450C15">
      <w:r>
        <w:separator/>
      </w:r>
    </w:p>
  </w:endnote>
  <w:endnote w:type="continuationSeparator" w:id="0">
    <w:p w14:paraId="03D27C91" w14:textId="77777777" w:rsidR="00C41680" w:rsidRDefault="00C41680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05752C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2F9E" w14:textId="77777777" w:rsidR="00C41680" w:rsidRDefault="00C41680" w:rsidP="00450C15">
      <w:r>
        <w:separator/>
      </w:r>
    </w:p>
  </w:footnote>
  <w:footnote w:type="continuationSeparator" w:id="0">
    <w:p w14:paraId="39614212" w14:textId="77777777" w:rsidR="00C41680" w:rsidRDefault="00C41680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1F66D87D">
              <wp:simplePos x="0" y="0"/>
              <wp:positionH relativeFrom="column">
                <wp:posOffset>-405765</wp:posOffset>
              </wp:positionH>
              <wp:positionV relativeFrom="paragraph">
                <wp:posOffset>-211454</wp:posOffset>
              </wp:positionV>
              <wp:extent cx="5196840" cy="7429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3EC228C0" w:rsidR="00513EEC" w:rsidRPr="00417885" w:rsidRDefault="0041788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178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MARRUECOS ESPECTACULAR I</w:t>
                          </w:r>
                        </w:p>
                        <w:p w14:paraId="632ED11B" w14:textId="0D695A56" w:rsidR="00A45A3E" w:rsidRPr="00417885" w:rsidRDefault="001E4A2F" w:rsidP="0092525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449</w:t>
                          </w:r>
                          <w:r w:rsidR="0094314D" w:rsidRPr="0041788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41788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A45A3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92525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B40B2D" w:rsidRPr="009801D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409.2pt;height:5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" filled="f" stroked="f">
              <v:textbox>
                <w:txbxContent>
                  <w:p w14:paraId="41AE9462" w14:textId="3EC228C0" w:rsidR="00513EEC" w:rsidRPr="00417885" w:rsidRDefault="0041788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178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MARRUECOS ESPECTACULAR I</w:t>
                    </w:r>
                  </w:p>
                  <w:p w14:paraId="632ED11B" w14:textId="0D695A56" w:rsidR="00A45A3E" w:rsidRPr="00417885" w:rsidRDefault="001E4A2F" w:rsidP="0092525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449</w:t>
                    </w:r>
                    <w:r w:rsidR="0094314D" w:rsidRPr="0041788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41788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A45A3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92525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B40B2D" w:rsidRPr="009801D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BB7451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27.75pt;height:1200pt" o:bullet="t">
        <v:imagedata r:id="rId1" o:title="peligro"/>
      </v:shape>
    </w:pict>
  </w:numPicBullet>
  <w:abstractNum w:abstractNumId="0" w15:restartNumberingAfterBreak="0">
    <w:nsid w:val="0B0B6166"/>
    <w:multiLevelType w:val="hybridMultilevel"/>
    <w:tmpl w:val="948888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2" w15:restartNumberingAfterBreak="0">
    <w:nsid w:val="27BD45E0"/>
    <w:multiLevelType w:val="hybridMultilevel"/>
    <w:tmpl w:val="B4189B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F4D7E"/>
    <w:multiLevelType w:val="hybridMultilevel"/>
    <w:tmpl w:val="67A251A2"/>
    <w:lvl w:ilvl="0" w:tplc="3E362E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36D6"/>
    <w:multiLevelType w:val="hybridMultilevel"/>
    <w:tmpl w:val="B8307FE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B73F7"/>
    <w:multiLevelType w:val="hybridMultilevel"/>
    <w:tmpl w:val="5B24F4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C323E"/>
    <w:multiLevelType w:val="hybridMultilevel"/>
    <w:tmpl w:val="88DAAE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354957">
    <w:abstractNumId w:val="1"/>
  </w:num>
  <w:num w:numId="2" w16cid:durableId="360739908">
    <w:abstractNumId w:val="7"/>
  </w:num>
  <w:num w:numId="3" w16cid:durableId="519589571">
    <w:abstractNumId w:val="8"/>
  </w:num>
  <w:num w:numId="4" w16cid:durableId="663707355">
    <w:abstractNumId w:val="9"/>
  </w:num>
  <w:num w:numId="5" w16cid:durableId="896284680">
    <w:abstractNumId w:val="3"/>
  </w:num>
  <w:num w:numId="6" w16cid:durableId="1870022039">
    <w:abstractNumId w:val="6"/>
  </w:num>
  <w:num w:numId="7" w16cid:durableId="489054259">
    <w:abstractNumId w:val="4"/>
  </w:num>
  <w:num w:numId="8" w16cid:durableId="1022896395">
    <w:abstractNumId w:val="10"/>
  </w:num>
  <w:num w:numId="9" w16cid:durableId="1815220466">
    <w:abstractNumId w:val="2"/>
  </w:num>
  <w:num w:numId="10" w16cid:durableId="1239822295">
    <w:abstractNumId w:val="0"/>
  </w:num>
  <w:num w:numId="11" w16cid:durableId="178803858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744"/>
    <w:rsid w:val="000110B5"/>
    <w:rsid w:val="000121F5"/>
    <w:rsid w:val="000206F0"/>
    <w:rsid w:val="00032009"/>
    <w:rsid w:val="0004121B"/>
    <w:rsid w:val="00041A7A"/>
    <w:rsid w:val="000447E3"/>
    <w:rsid w:val="00056A5D"/>
    <w:rsid w:val="00060395"/>
    <w:rsid w:val="0006120B"/>
    <w:rsid w:val="00063211"/>
    <w:rsid w:val="00067425"/>
    <w:rsid w:val="00074095"/>
    <w:rsid w:val="00074477"/>
    <w:rsid w:val="00081392"/>
    <w:rsid w:val="000901BB"/>
    <w:rsid w:val="00091DD8"/>
    <w:rsid w:val="0009249E"/>
    <w:rsid w:val="00093D58"/>
    <w:rsid w:val="00095547"/>
    <w:rsid w:val="00096AC7"/>
    <w:rsid w:val="000B06D8"/>
    <w:rsid w:val="000B4C53"/>
    <w:rsid w:val="000B5887"/>
    <w:rsid w:val="000D07FA"/>
    <w:rsid w:val="000D1495"/>
    <w:rsid w:val="000E71F1"/>
    <w:rsid w:val="000E7491"/>
    <w:rsid w:val="000F116C"/>
    <w:rsid w:val="000F6819"/>
    <w:rsid w:val="001056F5"/>
    <w:rsid w:val="00106CE3"/>
    <w:rsid w:val="001124DB"/>
    <w:rsid w:val="00113C32"/>
    <w:rsid w:val="00115DF1"/>
    <w:rsid w:val="00122CB6"/>
    <w:rsid w:val="00124C0C"/>
    <w:rsid w:val="001314D0"/>
    <w:rsid w:val="001316EB"/>
    <w:rsid w:val="00134182"/>
    <w:rsid w:val="00146FFD"/>
    <w:rsid w:val="00156E7E"/>
    <w:rsid w:val="001624AE"/>
    <w:rsid w:val="00170958"/>
    <w:rsid w:val="00176D4E"/>
    <w:rsid w:val="00187CEF"/>
    <w:rsid w:val="001966E3"/>
    <w:rsid w:val="00196A13"/>
    <w:rsid w:val="001A58AA"/>
    <w:rsid w:val="001C618C"/>
    <w:rsid w:val="001D3EA5"/>
    <w:rsid w:val="001D59AE"/>
    <w:rsid w:val="001E0BFB"/>
    <w:rsid w:val="001E177F"/>
    <w:rsid w:val="001E33CC"/>
    <w:rsid w:val="001E49A4"/>
    <w:rsid w:val="001E4A2F"/>
    <w:rsid w:val="001F2CE5"/>
    <w:rsid w:val="002049A1"/>
    <w:rsid w:val="00207F26"/>
    <w:rsid w:val="002209BD"/>
    <w:rsid w:val="0022416D"/>
    <w:rsid w:val="00226B34"/>
    <w:rsid w:val="00227509"/>
    <w:rsid w:val="00253428"/>
    <w:rsid w:val="002564A3"/>
    <w:rsid w:val="0026013F"/>
    <w:rsid w:val="00261C1E"/>
    <w:rsid w:val="0026366E"/>
    <w:rsid w:val="00264C19"/>
    <w:rsid w:val="00270D4D"/>
    <w:rsid w:val="00275014"/>
    <w:rsid w:val="00286632"/>
    <w:rsid w:val="00286768"/>
    <w:rsid w:val="002959E3"/>
    <w:rsid w:val="002A2136"/>
    <w:rsid w:val="002A6F1A"/>
    <w:rsid w:val="002B21C0"/>
    <w:rsid w:val="002B639A"/>
    <w:rsid w:val="002C3E02"/>
    <w:rsid w:val="002C72B1"/>
    <w:rsid w:val="002F25DA"/>
    <w:rsid w:val="002F560C"/>
    <w:rsid w:val="00313B2D"/>
    <w:rsid w:val="00325008"/>
    <w:rsid w:val="00330CB8"/>
    <w:rsid w:val="003370E9"/>
    <w:rsid w:val="00350699"/>
    <w:rsid w:val="00354501"/>
    <w:rsid w:val="00362510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F6D66"/>
    <w:rsid w:val="0040424D"/>
    <w:rsid w:val="00407A99"/>
    <w:rsid w:val="00413977"/>
    <w:rsid w:val="00414AF3"/>
    <w:rsid w:val="0041595F"/>
    <w:rsid w:val="004173C0"/>
    <w:rsid w:val="00417885"/>
    <w:rsid w:val="00420ADB"/>
    <w:rsid w:val="004270EB"/>
    <w:rsid w:val="0043377B"/>
    <w:rsid w:val="004344E9"/>
    <w:rsid w:val="00445117"/>
    <w:rsid w:val="00447919"/>
    <w:rsid w:val="00450C15"/>
    <w:rsid w:val="00451014"/>
    <w:rsid w:val="00465102"/>
    <w:rsid w:val="0046798E"/>
    <w:rsid w:val="0047057D"/>
    <w:rsid w:val="00471EDB"/>
    <w:rsid w:val="0048055D"/>
    <w:rsid w:val="004936E6"/>
    <w:rsid w:val="004A5831"/>
    <w:rsid w:val="004A68D9"/>
    <w:rsid w:val="004B1883"/>
    <w:rsid w:val="004B239B"/>
    <w:rsid w:val="004B372F"/>
    <w:rsid w:val="004C4526"/>
    <w:rsid w:val="004C45C8"/>
    <w:rsid w:val="004D2C2F"/>
    <w:rsid w:val="004F13E7"/>
    <w:rsid w:val="004F1CF6"/>
    <w:rsid w:val="005124B6"/>
    <w:rsid w:val="005130A5"/>
    <w:rsid w:val="00513C9F"/>
    <w:rsid w:val="00513EEC"/>
    <w:rsid w:val="00515A43"/>
    <w:rsid w:val="0052534C"/>
    <w:rsid w:val="00535206"/>
    <w:rsid w:val="00541842"/>
    <w:rsid w:val="00555729"/>
    <w:rsid w:val="00564D1B"/>
    <w:rsid w:val="0056689C"/>
    <w:rsid w:val="00592677"/>
    <w:rsid w:val="0059594D"/>
    <w:rsid w:val="005B0F31"/>
    <w:rsid w:val="005C2785"/>
    <w:rsid w:val="006053CD"/>
    <w:rsid w:val="006130D1"/>
    <w:rsid w:val="00615736"/>
    <w:rsid w:val="00621EAE"/>
    <w:rsid w:val="00630B01"/>
    <w:rsid w:val="00647995"/>
    <w:rsid w:val="00650CCB"/>
    <w:rsid w:val="00652834"/>
    <w:rsid w:val="00655755"/>
    <w:rsid w:val="00664437"/>
    <w:rsid w:val="00680376"/>
    <w:rsid w:val="00686844"/>
    <w:rsid w:val="00695D3C"/>
    <w:rsid w:val="006971B8"/>
    <w:rsid w:val="006A237F"/>
    <w:rsid w:val="006B1779"/>
    <w:rsid w:val="006B19F7"/>
    <w:rsid w:val="006B7C97"/>
    <w:rsid w:val="006C1BF7"/>
    <w:rsid w:val="006C568C"/>
    <w:rsid w:val="006C6655"/>
    <w:rsid w:val="006D3C96"/>
    <w:rsid w:val="006D64BE"/>
    <w:rsid w:val="006D77A3"/>
    <w:rsid w:val="006E0F61"/>
    <w:rsid w:val="006F44DD"/>
    <w:rsid w:val="006F45DE"/>
    <w:rsid w:val="00726CA9"/>
    <w:rsid w:val="00727503"/>
    <w:rsid w:val="00737156"/>
    <w:rsid w:val="00737C85"/>
    <w:rsid w:val="00772BB6"/>
    <w:rsid w:val="0077458B"/>
    <w:rsid w:val="00781EA2"/>
    <w:rsid w:val="00784A59"/>
    <w:rsid w:val="00786E25"/>
    <w:rsid w:val="00792A3C"/>
    <w:rsid w:val="0079315A"/>
    <w:rsid w:val="00795179"/>
    <w:rsid w:val="00796421"/>
    <w:rsid w:val="007B0869"/>
    <w:rsid w:val="007B4221"/>
    <w:rsid w:val="007E1125"/>
    <w:rsid w:val="007E143B"/>
    <w:rsid w:val="007E6927"/>
    <w:rsid w:val="007F5A27"/>
    <w:rsid w:val="00803699"/>
    <w:rsid w:val="00807F47"/>
    <w:rsid w:val="00814BB4"/>
    <w:rsid w:val="00823975"/>
    <w:rsid w:val="00824B64"/>
    <w:rsid w:val="00842FEF"/>
    <w:rsid w:val="00852C7A"/>
    <w:rsid w:val="008531BC"/>
    <w:rsid w:val="00857275"/>
    <w:rsid w:val="00861165"/>
    <w:rsid w:val="00862D96"/>
    <w:rsid w:val="008772AB"/>
    <w:rsid w:val="00881893"/>
    <w:rsid w:val="00883F1F"/>
    <w:rsid w:val="00891A2A"/>
    <w:rsid w:val="00894F82"/>
    <w:rsid w:val="008B406F"/>
    <w:rsid w:val="008B7201"/>
    <w:rsid w:val="008C08C5"/>
    <w:rsid w:val="008F0CE2"/>
    <w:rsid w:val="00902CE2"/>
    <w:rsid w:val="009072F9"/>
    <w:rsid w:val="0092123F"/>
    <w:rsid w:val="009227E5"/>
    <w:rsid w:val="00923667"/>
    <w:rsid w:val="00923900"/>
    <w:rsid w:val="00925257"/>
    <w:rsid w:val="00932207"/>
    <w:rsid w:val="00933BFE"/>
    <w:rsid w:val="0094314D"/>
    <w:rsid w:val="00944382"/>
    <w:rsid w:val="00945F28"/>
    <w:rsid w:val="00955140"/>
    <w:rsid w:val="00962B70"/>
    <w:rsid w:val="009701C1"/>
    <w:rsid w:val="009801DC"/>
    <w:rsid w:val="0098373C"/>
    <w:rsid w:val="00987CB4"/>
    <w:rsid w:val="009A0EE3"/>
    <w:rsid w:val="009A4A2A"/>
    <w:rsid w:val="009A6E3E"/>
    <w:rsid w:val="009B02E5"/>
    <w:rsid w:val="009B5D60"/>
    <w:rsid w:val="009C3370"/>
    <w:rsid w:val="009D4C74"/>
    <w:rsid w:val="009E51B0"/>
    <w:rsid w:val="009F0300"/>
    <w:rsid w:val="009F2AE5"/>
    <w:rsid w:val="00A008FE"/>
    <w:rsid w:val="00A14872"/>
    <w:rsid w:val="00A2030A"/>
    <w:rsid w:val="00A25CD2"/>
    <w:rsid w:val="00A261C5"/>
    <w:rsid w:val="00A300C1"/>
    <w:rsid w:val="00A316F2"/>
    <w:rsid w:val="00A410E9"/>
    <w:rsid w:val="00A4233B"/>
    <w:rsid w:val="00A42A00"/>
    <w:rsid w:val="00A45A3E"/>
    <w:rsid w:val="00A46CB0"/>
    <w:rsid w:val="00A52F6E"/>
    <w:rsid w:val="00A57319"/>
    <w:rsid w:val="00A67F14"/>
    <w:rsid w:val="00A8172E"/>
    <w:rsid w:val="00A86FD1"/>
    <w:rsid w:val="00A9641A"/>
    <w:rsid w:val="00AA0A67"/>
    <w:rsid w:val="00AA5525"/>
    <w:rsid w:val="00AC1E22"/>
    <w:rsid w:val="00AC2765"/>
    <w:rsid w:val="00AD3E73"/>
    <w:rsid w:val="00AE3E65"/>
    <w:rsid w:val="00AF03F3"/>
    <w:rsid w:val="00AF29B9"/>
    <w:rsid w:val="00AF4163"/>
    <w:rsid w:val="00B0056D"/>
    <w:rsid w:val="00B019BB"/>
    <w:rsid w:val="00B03159"/>
    <w:rsid w:val="00B31A03"/>
    <w:rsid w:val="00B36A64"/>
    <w:rsid w:val="00B37055"/>
    <w:rsid w:val="00B37445"/>
    <w:rsid w:val="00B40B2D"/>
    <w:rsid w:val="00B4786E"/>
    <w:rsid w:val="00B67231"/>
    <w:rsid w:val="00B67AB9"/>
    <w:rsid w:val="00B70462"/>
    <w:rsid w:val="00B705E0"/>
    <w:rsid w:val="00B770D6"/>
    <w:rsid w:val="00B7793A"/>
    <w:rsid w:val="00B812C5"/>
    <w:rsid w:val="00B82834"/>
    <w:rsid w:val="00B878B9"/>
    <w:rsid w:val="00BA4BBE"/>
    <w:rsid w:val="00BA76AA"/>
    <w:rsid w:val="00BC01E4"/>
    <w:rsid w:val="00BC7829"/>
    <w:rsid w:val="00BC7979"/>
    <w:rsid w:val="00BD61D9"/>
    <w:rsid w:val="00BE0551"/>
    <w:rsid w:val="00BE2349"/>
    <w:rsid w:val="00BF2FF6"/>
    <w:rsid w:val="00BF4A25"/>
    <w:rsid w:val="00C06986"/>
    <w:rsid w:val="00C07D31"/>
    <w:rsid w:val="00C100AB"/>
    <w:rsid w:val="00C140F5"/>
    <w:rsid w:val="00C20751"/>
    <w:rsid w:val="00C32B63"/>
    <w:rsid w:val="00C33155"/>
    <w:rsid w:val="00C41680"/>
    <w:rsid w:val="00C4526B"/>
    <w:rsid w:val="00C45328"/>
    <w:rsid w:val="00C50ABF"/>
    <w:rsid w:val="00C51CB1"/>
    <w:rsid w:val="00C55C28"/>
    <w:rsid w:val="00C60443"/>
    <w:rsid w:val="00C632D6"/>
    <w:rsid w:val="00C70110"/>
    <w:rsid w:val="00C7612E"/>
    <w:rsid w:val="00C834CC"/>
    <w:rsid w:val="00CC16AE"/>
    <w:rsid w:val="00CC18B7"/>
    <w:rsid w:val="00CD09C2"/>
    <w:rsid w:val="00CE7934"/>
    <w:rsid w:val="00CF2031"/>
    <w:rsid w:val="00CF6EEC"/>
    <w:rsid w:val="00D05176"/>
    <w:rsid w:val="00D21E04"/>
    <w:rsid w:val="00D41067"/>
    <w:rsid w:val="00D5785A"/>
    <w:rsid w:val="00D63953"/>
    <w:rsid w:val="00D65CA3"/>
    <w:rsid w:val="00D66D1E"/>
    <w:rsid w:val="00D679D1"/>
    <w:rsid w:val="00D709DE"/>
    <w:rsid w:val="00D732E0"/>
    <w:rsid w:val="00D76994"/>
    <w:rsid w:val="00D94474"/>
    <w:rsid w:val="00D96097"/>
    <w:rsid w:val="00DA3716"/>
    <w:rsid w:val="00DC6C63"/>
    <w:rsid w:val="00DC755C"/>
    <w:rsid w:val="00DD29DB"/>
    <w:rsid w:val="00DD5E59"/>
    <w:rsid w:val="00DD6A94"/>
    <w:rsid w:val="00DF15D6"/>
    <w:rsid w:val="00E10D30"/>
    <w:rsid w:val="00E25205"/>
    <w:rsid w:val="00E477EC"/>
    <w:rsid w:val="00E555C8"/>
    <w:rsid w:val="00E663D4"/>
    <w:rsid w:val="00E72143"/>
    <w:rsid w:val="00E7309E"/>
    <w:rsid w:val="00E74618"/>
    <w:rsid w:val="00E846AA"/>
    <w:rsid w:val="00E90FAD"/>
    <w:rsid w:val="00E948BD"/>
    <w:rsid w:val="00EA0490"/>
    <w:rsid w:val="00EA17D1"/>
    <w:rsid w:val="00EB7B93"/>
    <w:rsid w:val="00EC02DD"/>
    <w:rsid w:val="00EC34A0"/>
    <w:rsid w:val="00EC6694"/>
    <w:rsid w:val="00EC72F0"/>
    <w:rsid w:val="00EC7F50"/>
    <w:rsid w:val="00ED2EE5"/>
    <w:rsid w:val="00ED31B5"/>
    <w:rsid w:val="00EF313D"/>
    <w:rsid w:val="00F001EF"/>
    <w:rsid w:val="00F00F60"/>
    <w:rsid w:val="00F11662"/>
    <w:rsid w:val="00F11C4C"/>
    <w:rsid w:val="00F1612C"/>
    <w:rsid w:val="00F20AF1"/>
    <w:rsid w:val="00F5066E"/>
    <w:rsid w:val="00F65AAF"/>
    <w:rsid w:val="00F746A8"/>
    <w:rsid w:val="00F96F4D"/>
    <w:rsid w:val="00FA1688"/>
    <w:rsid w:val="00FA41DC"/>
    <w:rsid w:val="00FA6105"/>
    <w:rsid w:val="00FD075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9105-FF1A-4AD1-AD40-6F3FB10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17</cp:revision>
  <dcterms:created xsi:type="dcterms:W3CDTF">2023-01-05T22:41:00Z</dcterms:created>
  <dcterms:modified xsi:type="dcterms:W3CDTF">2024-01-05T16:40:00Z</dcterms:modified>
</cp:coreProperties>
</file>